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48EA3" w14:textId="77777777" w:rsidR="00593A7C" w:rsidRPr="00182EF9" w:rsidRDefault="00445243">
      <w:pPr>
        <w:pStyle w:val="Naslov"/>
        <w:rPr>
          <w:sz w:val="28"/>
        </w:rPr>
      </w:pPr>
      <w:r w:rsidRPr="00182EF9">
        <w:rPr>
          <w:sz w:val="28"/>
        </w:rPr>
        <w:t>BOSNA I HERCEGOVINA</w:t>
      </w:r>
    </w:p>
    <w:p w14:paraId="2A248EA4" w14:textId="77777777" w:rsidR="00593A7C" w:rsidRPr="00182EF9" w:rsidRDefault="00445243">
      <w:pPr>
        <w:pStyle w:val="Naslov"/>
        <w:rPr>
          <w:sz w:val="28"/>
        </w:rPr>
      </w:pPr>
      <w:r w:rsidRPr="00182EF9">
        <w:rPr>
          <w:sz w:val="28"/>
        </w:rPr>
        <w:t>FEDERACIJA BOSNE I HERCEGOVINE</w:t>
      </w:r>
    </w:p>
    <w:p w14:paraId="2A248EA5" w14:textId="77777777" w:rsidR="00593A7C" w:rsidRPr="00182EF9" w:rsidRDefault="00445243">
      <w:pPr>
        <w:pStyle w:val="Naslov"/>
        <w:rPr>
          <w:sz w:val="28"/>
        </w:rPr>
      </w:pPr>
      <w:r w:rsidRPr="00182EF9">
        <w:rPr>
          <w:sz w:val="28"/>
        </w:rPr>
        <w:t>ŽUPANIJA POSAVSKA</w:t>
      </w:r>
    </w:p>
    <w:p w14:paraId="2A248EA6" w14:textId="77777777" w:rsidR="00593A7C" w:rsidRPr="00182EF9" w:rsidRDefault="00445243">
      <w:pPr>
        <w:pStyle w:val="Naslov"/>
        <w:rPr>
          <w:sz w:val="28"/>
        </w:rPr>
      </w:pPr>
      <w:r w:rsidRPr="00182EF9">
        <w:rPr>
          <w:sz w:val="28"/>
        </w:rPr>
        <w:t>V L A D A</w:t>
      </w:r>
    </w:p>
    <w:p w14:paraId="2A248EA7" w14:textId="77777777" w:rsidR="00593A7C" w:rsidRPr="00182EF9" w:rsidRDefault="00593A7C">
      <w:pPr>
        <w:pStyle w:val="Naslov"/>
        <w:rPr>
          <w:sz w:val="28"/>
        </w:rPr>
      </w:pPr>
    </w:p>
    <w:p w14:paraId="2A248EA8" w14:textId="77777777" w:rsidR="00593A7C" w:rsidRPr="00182EF9" w:rsidRDefault="00593A7C">
      <w:pPr>
        <w:pStyle w:val="Naslov"/>
        <w:rPr>
          <w:sz w:val="28"/>
        </w:rPr>
      </w:pPr>
    </w:p>
    <w:p w14:paraId="2A248EA9" w14:textId="77777777" w:rsidR="00593A7C" w:rsidRPr="00182EF9" w:rsidRDefault="00593A7C">
      <w:pPr>
        <w:pStyle w:val="Naslov"/>
        <w:rPr>
          <w:sz w:val="28"/>
        </w:rPr>
      </w:pPr>
    </w:p>
    <w:p w14:paraId="2A248EAA" w14:textId="77777777" w:rsidR="00593A7C" w:rsidRPr="00182EF9" w:rsidRDefault="00593A7C">
      <w:pPr>
        <w:pStyle w:val="Naslov"/>
        <w:rPr>
          <w:sz w:val="28"/>
        </w:rPr>
      </w:pPr>
    </w:p>
    <w:p w14:paraId="2A248EAB" w14:textId="77777777" w:rsidR="00593A7C" w:rsidRPr="00182EF9" w:rsidRDefault="00593A7C">
      <w:pPr>
        <w:pStyle w:val="Naslov"/>
        <w:rPr>
          <w:sz w:val="28"/>
        </w:rPr>
      </w:pPr>
    </w:p>
    <w:p w14:paraId="2A248EAC" w14:textId="77777777" w:rsidR="00593A7C" w:rsidRPr="00182EF9" w:rsidRDefault="00593A7C">
      <w:pPr>
        <w:pStyle w:val="Naslov"/>
        <w:rPr>
          <w:sz w:val="28"/>
        </w:rPr>
      </w:pPr>
    </w:p>
    <w:p w14:paraId="2A248EAD" w14:textId="77777777" w:rsidR="00593A7C" w:rsidRPr="00182EF9" w:rsidRDefault="00593A7C">
      <w:pPr>
        <w:pStyle w:val="Naslov"/>
        <w:rPr>
          <w:sz w:val="28"/>
        </w:rPr>
      </w:pPr>
    </w:p>
    <w:p w14:paraId="2A248EAE" w14:textId="77777777" w:rsidR="00593A7C" w:rsidRPr="00182EF9" w:rsidRDefault="00593A7C">
      <w:pPr>
        <w:pStyle w:val="Naslov"/>
        <w:rPr>
          <w:sz w:val="28"/>
        </w:rPr>
      </w:pPr>
    </w:p>
    <w:p w14:paraId="2A248EAF" w14:textId="77777777" w:rsidR="00593A7C" w:rsidRPr="00182EF9" w:rsidRDefault="00593A7C">
      <w:pPr>
        <w:pStyle w:val="Naslov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44"/>
        <w:gridCol w:w="7139"/>
      </w:tblGrid>
      <w:tr w:rsidR="00593A7C" w:rsidRPr="00182EF9" w14:paraId="2A248EB2" w14:textId="77777777">
        <w:tc>
          <w:tcPr>
            <w:tcW w:w="2268" w:type="dxa"/>
            <w:shd w:val="clear" w:color="auto" w:fill="404040"/>
          </w:tcPr>
          <w:p w14:paraId="2A248EB0" w14:textId="2AC8BD1F" w:rsidR="00593A7C" w:rsidRPr="00182EF9" w:rsidRDefault="00445243" w:rsidP="001D493A">
            <w:pPr>
              <w:pStyle w:val="Naslov"/>
              <w:rPr>
                <w:color w:val="FFFFFF"/>
                <w:sz w:val="72"/>
              </w:rPr>
            </w:pPr>
            <w:r w:rsidRPr="00182EF9">
              <w:rPr>
                <w:color w:val="FFFFFF"/>
                <w:sz w:val="72"/>
              </w:rPr>
              <w:t>20</w:t>
            </w:r>
            <w:r w:rsidR="00102063" w:rsidRPr="00182EF9">
              <w:rPr>
                <w:color w:val="FFFFFF"/>
                <w:sz w:val="72"/>
              </w:rPr>
              <w:t>2</w:t>
            </w:r>
            <w:r w:rsidR="00C8313D">
              <w:rPr>
                <w:color w:val="FFFFFF"/>
                <w:sz w:val="72"/>
              </w:rPr>
              <w:t>4</w:t>
            </w:r>
          </w:p>
        </w:tc>
        <w:tc>
          <w:tcPr>
            <w:tcW w:w="7331" w:type="dxa"/>
          </w:tcPr>
          <w:p w14:paraId="2A248EB1" w14:textId="77777777" w:rsidR="00593A7C" w:rsidRPr="00182EF9" w:rsidRDefault="00593A7C">
            <w:pPr>
              <w:pStyle w:val="Naslov"/>
              <w:rPr>
                <w:sz w:val="28"/>
              </w:rPr>
            </w:pPr>
          </w:p>
        </w:tc>
      </w:tr>
      <w:tr w:rsidR="00593A7C" w:rsidRPr="00182EF9" w14:paraId="2A248EB5" w14:textId="77777777">
        <w:trPr>
          <w:trHeight w:val="1418"/>
        </w:trPr>
        <w:tc>
          <w:tcPr>
            <w:tcW w:w="2268" w:type="dxa"/>
            <w:vAlign w:val="center"/>
          </w:tcPr>
          <w:p w14:paraId="2A248EB3" w14:textId="77777777" w:rsidR="00593A7C" w:rsidRPr="00182EF9" w:rsidRDefault="00593A7C">
            <w:pPr>
              <w:pStyle w:val="Naslov"/>
              <w:rPr>
                <w:sz w:val="28"/>
              </w:rPr>
            </w:pPr>
          </w:p>
        </w:tc>
        <w:tc>
          <w:tcPr>
            <w:tcW w:w="7331" w:type="dxa"/>
            <w:shd w:val="clear" w:color="auto" w:fill="CCCCCC"/>
            <w:vAlign w:val="center"/>
          </w:tcPr>
          <w:p w14:paraId="2A248EB4" w14:textId="3D8DA3DE" w:rsidR="00593A7C" w:rsidRPr="00182EF9" w:rsidRDefault="00445243" w:rsidP="001D493A">
            <w:pPr>
              <w:pStyle w:val="Naslov"/>
              <w:tabs>
                <w:tab w:val="left" w:pos="3425"/>
              </w:tabs>
              <w:rPr>
                <w:sz w:val="28"/>
              </w:rPr>
            </w:pPr>
            <w:r w:rsidRPr="00182EF9">
              <w:rPr>
                <w:sz w:val="28"/>
              </w:rPr>
              <w:t xml:space="preserve">OBRAZLOŽENJE IZMJENA I DOPUNA PRORAČUNA ŽUPANIJE POSAVSKE ZA </w:t>
            </w:r>
            <w:r w:rsidR="005B0BE8" w:rsidRPr="00182EF9">
              <w:rPr>
                <w:sz w:val="28"/>
              </w:rPr>
              <w:t>202</w:t>
            </w:r>
            <w:r w:rsidR="00C8313D">
              <w:rPr>
                <w:sz w:val="28"/>
              </w:rPr>
              <w:t>4</w:t>
            </w:r>
            <w:r w:rsidRPr="00182EF9">
              <w:rPr>
                <w:sz w:val="28"/>
              </w:rPr>
              <w:t>. GOD</w:t>
            </w:r>
            <w:r w:rsidR="003F6A0D" w:rsidRPr="00182EF9">
              <w:rPr>
                <w:sz w:val="28"/>
              </w:rPr>
              <w:t>.</w:t>
            </w:r>
          </w:p>
        </w:tc>
      </w:tr>
    </w:tbl>
    <w:p w14:paraId="2A248EB6" w14:textId="77777777" w:rsidR="00593A7C" w:rsidRPr="00182EF9" w:rsidRDefault="00593A7C">
      <w:pPr>
        <w:pStyle w:val="Naslov"/>
        <w:rPr>
          <w:sz w:val="28"/>
        </w:rPr>
      </w:pPr>
    </w:p>
    <w:p w14:paraId="2A248EB7" w14:textId="77777777" w:rsidR="00593A7C" w:rsidRPr="00182EF9" w:rsidRDefault="00593A7C">
      <w:pPr>
        <w:pStyle w:val="Naslov"/>
        <w:rPr>
          <w:sz w:val="28"/>
        </w:rPr>
      </w:pPr>
    </w:p>
    <w:p w14:paraId="2A248EB8" w14:textId="77777777" w:rsidR="00593A7C" w:rsidRPr="00182EF9" w:rsidRDefault="00593A7C">
      <w:pPr>
        <w:pStyle w:val="Naslov"/>
        <w:rPr>
          <w:sz w:val="28"/>
        </w:rPr>
      </w:pPr>
    </w:p>
    <w:p w14:paraId="2A248EB9" w14:textId="77777777" w:rsidR="00593A7C" w:rsidRPr="00182EF9" w:rsidRDefault="00593A7C">
      <w:pPr>
        <w:pStyle w:val="Naslov"/>
        <w:rPr>
          <w:sz w:val="28"/>
        </w:rPr>
      </w:pPr>
    </w:p>
    <w:p w14:paraId="2A248EBA" w14:textId="77777777" w:rsidR="00593A7C" w:rsidRPr="00182EF9" w:rsidRDefault="00593A7C">
      <w:pPr>
        <w:pStyle w:val="Naslov"/>
        <w:rPr>
          <w:sz w:val="28"/>
        </w:rPr>
      </w:pPr>
    </w:p>
    <w:p w14:paraId="2A248EBB" w14:textId="77777777" w:rsidR="00593A7C" w:rsidRPr="00182EF9" w:rsidRDefault="00593A7C">
      <w:pPr>
        <w:pStyle w:val="Naslov"/>
        <w:rPr>
          <w:sz w:val="28"/>
        </w:rPr>
      </w:pPr>
    </w:p>
    <w:p w14:paraId="2A248EBC" w14:textId="77777777" w:rsidR="00593A7C" w:rsidRPr="00182EF9" w:rsidRDefault="00593A7C">
      <w:pPr>
        <w:pStyle w:val="Naslov"/>
        <w:rPr>
          <w:sz w:val="28"/>
        </w:rPr>
      </w:pPr>
    </w:p>
    <w:p w14:paraId="2A248EBD" w14:textId="77777777" w:rsidR="00593A7C" w:rsidRPr="00182EF9" w:rsidRDefault="00593A7C">
      <w:pPr>
        <w:pStyle w:val="Naslov"/>
        <w:rPr>
          <w:sz w:val="28"/>
        </w:rPr>
      </w:pPr>
    </w:p>
    <w:p w14:paraId="2A248EBE" w14:textId="77777777" w:rsidR="00593A7C" w:rsidRPr="00182EF9" w:rsidRDefault="00593A7C">
      <w:pPr>
        <w:pStyle w:val="Naslov"/>
        <w:rPr>
          <w:sz w:val="28"/>
        </w:rPr>
      </w:pPr>
    </w:p>
    <w:p w14:paraId="2A248EBF" w14:textId="77777777" w:rsidR="00593A7C" w:rsidRPr="00182EF9" w:rsidRDefault="00593A7C">
      <w:pPr>
        <w:pStyle w:val="Naslov"/>
        <w:rPr>
          <w:sz w:val="28"/>
        </w:rPr>
      </w:pPr>
    </w:p>
    <w:p w14:paraId="2A248EC0" w14:textId="77777777" w:rsidR="00593A7C" w:rsidRPr="00182EF9" w:rsidRDefault="00593A7C">
      <w:pPr>
        <w:pStyle w:val="Naslov"/>
        <w:rPr>
          <w:sz w:val="28"/>
        </w:rPr>
      </w:pPr>
    </w:p>
    <w:p w14:paraId="2A248EC1" w14:textId="77777777" w:rsidR="00593A7C" w:rsidRPr="00182EF9" w:rsidRDefault="00593A7C">
      <w:pPr>
        <w:pStyle w:val="Naslov"/>
        <w:rPr>
          <w:sz w:val="28"/>
        </w:rPr>
      </w:pPr>
    </w:p>
    <w:p w14:paraId="2A248EC2" w14:textId="77777777" w:rsidR="00593A7C" w:rsidRPr="00182EF9" w:rsidRDefault="00593A7C">
      <w:pPr>
        <w:pStyle w:val="Naslov"/>
        <w:rPr>
          <w:sz w:val="28"/>
        </w:rPr>
      </w:pPr>
    </w:p>
    <w:p w14:paraId="2A248EC3" w14:textId="77777777" w:rsidR="00593A7C" w:rsidRPr="00182EF9" w:rsidRDefault="00593A7C">
      <w:pPr>
        <w:pStyle w:val="Naslov"/>
        <w:rPr>
          <w:sz w:val="28"/>
        </w:rPr>
      </w:pPr>
    </w:p>
    <w:p w14:paraId="2A248EC4" w14:textId="77777777" w:rsidR="00593A7C" w:rsidRPr="00182EF9" w:rsidRDefault="00593A7C">
      <w:pPr>
        <w:pStyle w:val="Naslov"/>
        <w:rPr>
          <w:sz w:val="28"/>
        </w:rPr>
      </w:pPr>
    </w:p>
    <w:p w14:paraId="2A248EC5" w14:textId="77777777" w:rsidR="00593A7C" w:rsidRPr="00182EF9" w:rsidRDefault="00593A7C">
      <w:pPr>
        <w:pStyle w:val="Naslov"/>
        <w:rPr>
          <w:sz w:val="28"/>
        </w:rPr>
      </w:pPr>
    </w:p>
    <w:p w14:paraId="2A248EC6" w14:textId="77777777" w:rsidR="00593A7C" w:rsidRPr="00182EF9" w:rsidRDefault="00593A7C">
      <w:pPr>
        <w:pStyle w:val="Naslov"/>
        <w:rPr>
          <w:sz w:val="28"/>
        </w:rPr>
      </w:pPr>
    </w:p>
    <w:p w14:paraId="2A248EC7" w14:textId="77777777" w:rsidR="00593A7C" w:rsidRPr="00182EF9" w:rsidRDefault="00593A7C">
      <w:pPr>
        <w:pStyle w:val="Naslov"/>
        <w:rPr>
          <w:sz w:val="28"/>
        </w:rPr>
      </w:pPr>
    </w:p>
    <w:p w14:paraId="2A248EC8" w14:textId="74D7A6F2" w:rsidR="00C85372" w:rsidRPr="00182EF9" w:rsidRDefault="00445243">
      <w:pPr>
        <w:jc w:val="center"/>
        <w:rPr>
          <w:sz w:val="28"/>
          <w:lang w:val="hr-HR"/>
        </w:rPr>
      </w:pPr>
      <w:r w:rsidRPr="00182EF9">
        <w:rPr>
          <w:sz w:val="28"/>
          <w:lang w:val="hr-HR"/>
        </w:rPr>
        <w:t xml:space="preserve">Orašje, </w:t>
      </w:r>
      <w:r w:rsidR="00311819" w:rsidRPr="00182EF9">
        <w:rPr>
          <w:sz w:val="28"/>
          <w:lang w:val="hr-HR"/>
        </w:rPr>
        <w:t>studeni</w:t>
      </w:r>
      <w:r w:rsidRPr="00182EF9">
        <w:rPr>
          <w:sz w:val="28"/>
          <w:lang w:val="hr-HR"/>
        </w:rPr>
        <w:t xml:space="preserve"> </w:t>
      </w:r>
      <w:r w:rsidR="00C8313D">
        <w:rPr>
          <w:sz w:val="28"/>
          <w:lang w:val="hr-HR"/>
        </w:rPr>
        <w:t>2024</w:t>
      </w:r>
      <w:r w:rsidRPr="00182EF9">
        <w:rPr>
          <w:sz w:val="28"/>
          <w:lang w:val="hr-HR"/>
        </w:rPr>
        <w:t>.godine</w:t>
      </w:r>
    </w:p>
    <w:p w14:paraId="2A248EC9" w14:textId="77777777" w:rsidR="00C85372" w:rsidRPr="00182EF9" w:rsidRDefault="00C85372">
      <w:pPr>
        <w:jc w:val="center"/>
        <w:rPr>
          <w:sz w:val="28"/>
          <w:lang w:val="hr-HR"/>
        </w:rPr>
      </w:pPr>
    </w:p>
    <w:p w14:paraId="2A248ECA" w14:textId="77777777" w:rsidR="00C85372" w:rsidRPr="00182EF9" w:rsidRDefault="00C85372">
      <w:pPr>
        <w:jc w:val="center"/>
        <w:rPr>
          <w:sz w:val="28"/>
          <w:lang w:val="hr-HR"/>
        </w:rPr>
      </w:pPr>
    </w:p>
    <w:p w14:paraId="2A248ECB" w14:textId="77777777" w:rsidR="00C85372" w:rsidRPr="00182EF9" w:rsidRDefault="00C85372">
      <w:pPr>
        <w:jc w:val="center"/>
        <w:rPr>
          <w:sz w:val="28"/>
          <w:lang w:val="hr-HR"/>
        </w:rPr>
      </w:pPr>
    </w:p>
    <w:p w14:paraId="2A248ECC" w14:textId="77777777" w:rsidR="00E15440" w:rsidRPr="00182EF9" w:rsidRDefault="00E15440">
      <w:pPr>
        <w:jc w:val="center"/>
        <w:rPr>
          <w:sz w:val="28"/>
          <w:lang w:val="hr-HR"/>
        </w:rPr>
      </w:pPr>
    </w:p>
    <w:p w14:paraId="2A248ECD" w14:textId="77777777" w:rsidR="00C85372" w:rsidRPr="00182EF9" w:rsidRDefault="00C85372">
      <w:pPr>
        <w:jc w:val="center"/>
        <w:rPr>
          <w:sz w:val="28"/>
          <w:lang w:val="hr-HR"/>
        </w:rPr>
      </w:pPr>
    </w:p>
    <w:p w14:paraId="2A248ECE" w14:textId="77777777" w:rsidR="00C85372" w:rsidRPr="00182EF9" w:rsidRDefault="00C85372">
      <w:pPr>
        <w:jc w:val="center"/>
        <w:rPr>
          <w:sz w:val="28"/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7"/>
        <w:gridCol w:w="8566"/>
      </w:tblGrid>
      <w:tr w:rsidR="00593A7C" w:rsidRPr="00182EF9" w14:paraId="2A248ED1" w14:textId="77777777">
        <w:tc>
          <w:tcPr>
            <w:tcW w:w="828" w:type="dxa"/>
            <w:shd w:val="clear" w:color="auto" w:fill="404040"/>
          </w:tcPr>
          <w:p w14:paraId="2A248ECF" w14:textId="77777777" w:rsidR="00593A7C" w:rsidRPr="00182EF9" w:rsidRDefault="00445243">
            <w:pPr>
              <w:pStyle w:val="Naslov"/>
              <w:rPr>
                <w:color w:val="FFFFFF"/>
              </w:rPr>
            </w:pPr>
            <w:r w:rsidRPr="00182EF9">
              <w:rPr>
                <w:color w:val="FFFFFF"/>
              </w:rPr>
              <w:lastRenderedPageBreak/>
              <w:t>1.</w:t>
            </w:r>
          </w:p>
        </w:tc>
        <w:tc>
          <w:tcPr>
            <w:tcW w:w="8771" w:type="dxa"/>
          </w:tcPr>
          <w:p w14:paraId="2A248ED0" w14:textId="77777777" w:rsidR="00593A7C" w:rsidRPr="00182EF9" w:rsidRDefault="00445243" w:rsidP="00B43FF4">
            <w:pPr>
              <w:pStyle w:val="Naslov"/>
              <w:jc w:val="left"/>
            </w:pPr>
            <w:r w:rsidRPr="00182EF9">
              <w:t>UVOD</w:t>
            </w:r>
          </w:p>
        </w:tc>
      </w:tr>
    </w:tbl>
    <w:p w14:paraId="2A248ED2" w14:textId="77777777" w:rsidR="00C85372" w:rsidRPr="00182EF9" w:rsidRDefault="00C85372">
      <w:pPr>
        <w:jc w:val="center"/>
        <w:rPr>
          <w:b/>
          <w:bCs/>
          <w:sz w:val="28"/>
          <w:lang w:val="hr-HR"/>
        </w:rPr>
      </w:pPr>
    </w:p>
    <w:p w14:paraId="2A248ED3" w14:textId="4E7DAC11" w:rsidR="008C4957" w:rsidRDefault="00412473" w:rsidP="008C4957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U </w:t>
      </w:r>
      <w:r w:rsidR="00366300" w:rsidRPr="00182EF9">
        <w:rPr>
          <w:lang w:val="hr-HR"/>
        </w:rPr>
        <w:t>prosincu</w:t>
      </w:r>
      <w:r w:rsidRPr="00182EF9">
        <w:rPr>
          <w:lang w:val="hr-HR"/>
        </w:rPr>
        <w:t xml:space="preserve"> </w:t>
      </w:r>
      <w:r w:rsidR="00E532A2" w:rsidRPr="00182EF9">
        <w:rPr>
          <w:lang w:val="hr-HR"/>
        </w:rPr>
        <w:t>202</w:t>
      </w:r>
      <w:r w:rsidR="00C8313D">
        <w:rPr>
          <w:lang w:val="hr-HR"/>
        </w:rPr>
        <w:t>3</w:t>
      </w:r>
      <w:r w:rsidRPr="00182EF9">
        <w:rPr>
          <w:lang w:val="hr-HR"/>
        </w:rPr>
        <w:t xml:space="preserve">. godine usvojen je Proračun Županije Posavske za fiskalnu </w:t>
      </w:r>
      <w:r w:rsidR="00C8313D">
        <w:rPr>
          <w:lang w:val="hr-HR"/>
        </w:rPr>
        <w:t>2024</w:t>
      </w:r>
      <w:r w:rsidRPr="00182EF9">
        <w:rPr>
          <w:lang w:val="hr-HR"/>
        </w:rPr>
        <w:t xml:space="preserve">. godinu („Narodne novine Županije Posavske“, broj: </w:t>
      </w:r>
      <w:r w:rsidR="00E532A2" w:rsidRPr="00182EF9">
        <w:rPr>
          <w:lang w:val="hr-HR"/>
        </w:rPr>
        <w:t>2</w:t>
      </w:r>
      <w:r w:rsidR="002647BF">
        <w:rPr>
          <w:lang w:val="hr-HR"/>
        </w:rPr>
        <w:t>0</w:t>
      </w:r>
      <w:r w:rsidR="00E532A2" w:rsidRPr="00182EF9">
        <w:rPr>
          <w:lang w:val="hr-HR"/>
        </w:rPr>
        <w:t>/2</w:t>
      </w:r>
      <w:r w:rsidR="00C8313D">
        <w:rPr>
          <w:lang w:val="hr-HR"/>
        </w:rPr>
        <w:t>3</w:t>
      </w:r>
      <w:r w:rsidRPr="00182EF9">
        <w:rPr>
          <w:lang w:val="hr-HR"/>
        </w:rPr>
        <w:t xml:space="preserve">), kojim </w:t>
      </w:r>
      <w:r w:rsidR="008C4957" w:rsidRPr="00182EF9">
        <w:rPr>
          <w:lang w:val="hr-HR"/>
        </w:rPr>
        <w:t>su planirani</w:t>
      </w:r>
      <w:r w:rsidRPr="00182EF9">
        <w:rPr>
          <w:lang w:val="hr-HR"/>
        </w:rPr>
        <w:t xml:space="preserve"> prihodi, primici i financiranje u iznosu od </w:t>
      </w:r>
      <w:r w:rsidR="002647BF">
        <w:rPr>
          <w:lang w:val="hr-HR"/>
        </w:rPr>
        <w:t>66</w:t>
      </w:r>
      <w:r w:rsidR="00E532A2" w:rsidRPr="00182EF9">
        <w:rPr>
          <w:lang w:val="hr-HR"/>
        </w:rPr>
        <w:t>.</w:t>
      </w:r>
      <w:r w:rsidR="002647BF">
        <w:rPr>
          <w:lang w:val="hr-HR"/>
        </w:rPr>
        <w:t>987</w:t>
      </w:r>
      <w:r w:rsidR="00E532A2" w:rsidRPr="00182EF9">
        <w:rPr>
          <w:lang w:val="hr-HR"/>
        </w:rPr>
        <w:t>.</w:t>
      </w:r>
      <w:r w:rsidR="002647BF">
        <w:rPr>
          <w:lang w:val="hr-HR"/>
        </w:rPr>
        <w:t>00</w:t>
      </w:r>
      <w:r w:rsidR="00E532A2" w:rsidRPr="00182EF9">
        <w:rPr>
          <w:lang w:val="hr-HR"/>
        </w:rPr>
        <w:t>0</w:t>
      </w:r>
      <w:r w:rsidRPr="00182EF9">
        <w:rPr>
          <w:lang w:val="hr-HR"/>
        </w:rPr>
        <w:t xml:space="preserve"> KM, te proračunski rashodi i izdaci u </w:t>
      </w:r>
      <w:r w:rsidR="00E532A2" w:rsidRPr="00182EF9">
        <w:rPr>
          <w:lang w:val="hr-HR"/>
        </w:rPr>
        <w:t xml:space="preserve">jednakom </w:t>
      </w:r>
      <w:r w:rsidRPr="00182EF9">
        <w:rPr>
          <w:lang w:val="hr-HR"/>
        </w:rPr>
        <w:t xml:space="preserve">iznosu. </w:t>
      </w:r>
    </w:p>
    <w:p w14:paraId="55B2F752" w14:textId="4A622252" w:rsidR="00093B0B" w:rsidRDefault="00C74A3F" w:rsidP="008C4957">
      <w:pPr>
        <w:ind w:firstLine="720"/>
        <w:jc w:val="both"/>
        <w:rPr>
          <w:lang w:val="hr-HR"/>
        </w:rPr>
      </w:pPr>
      <w:r>
        <w:rPr>
          <w:lang w:val="hr-HR"/>
        </w:rPr>
        <w:t>Revidirani podaci Direkcije za ekonomska planiranja Bosne i Hercegovine pokazuju da je</w:t>
      </w:r>
      <w:r w:rsidR="00434C36">
        <w:rPr>
          <w:lang w:val="hr-HR"/>
        </w:rPr>
        <w:t>, u</w:t>
      </w:r>
      <w:r w:rsidR="006B7663">
        <w:rPr>
          <w:lang w:val="hr-HR"/>
        </w:rPr>
        <w:t>natoč izazovima na međunarodnoj razini</w:t>
      </w:r>
      <w:r w:rsidR="003F042E">
        <w:rPr>
          <w:lang w:val="hr-HR"/>
        </w:rPr>
        <w:t xml:space="preserve"> kojima su dominirali slabljenje globalnog ekonomskog rasta, jačanje inflatornih pritisaka i rast kamatnih stopa</w:t>
      </w:r>
      <w:r w:rsidR="00626B39">
        <w:rPr>
          <w:lang w:val="hr-HR"/>
        </w:rPr>
        <w:t xml:space="preserve">, na razini Bosne i Hercegovine </w:t>
      </w:r>
      <w:r w:rsidR="00434C36">
        <w:rPr>
          <w:lang w:val="hr-HR"/>
        </w:rPr>
        <w:t xml:space="preserve">u 2023. godini </w:t>
      </w:r>
      <w:r w:rsidR="00626B39">
        <w:rPr>
          <w:lang w:val="hr-HR"/>
        </w:rPr>
        <w:t xml:space="preserve">ostvaren </w:t>
      </w:r>
      <w:r w:rsidR="00434C36">
        <w:rPr>
          <w:lang w:val="hr-HR"/>
        </w:rPr>
        <w:t>ekonomski rast</w:t>
      </w:r>
      <w:r w:rsidR="00626B39">
        <w:rPr>
          <w:lang w:val="hr-HR"/>
        </w:rPr>
        <w:t xml:space="preserve"> od 1,9%</w:t>
      </w:r>
      <w:r>
        <w:rPr>
          <w:lang w:val="hr-HR"/>
        </w:rPr>
        <w:t>.</w:t>
      </w:r>
      <w:r w:rsidR="00AE312A">
        <w:rPr>
          <w:lang w:val="hr-HR"/>
        </w:rPr>
        <w:t xml:space="preserve"> </w:t>
      </w:r>
      <w:r w:rsidR="0065730E">
        <w:rPr>
          <w:lang w:val="hr-HR"/>
        </w:rPr>
        <w:t>Ostvareni ekonomski rast temeljen je na domaćoj potražnji kroz povećanje finalne potrošnje i investicija.</w:t>
      </w:r>
    </w:p>
    <w:p w14:paraId="5FBDA3FC" w14:textId="1C4CCAB9" w:rsidR="009B485E" w:rsidRDefault="009B485E" w:rsidP="008C4957">
      <w:pPr>
        <w:ind w:firstLine="720"/>
        <w:jc w:val="both"/>
        <w:rPr>
          <w:lang w:val="hr-HR"/>
        </w:rPr>
      </w:pPr>
      <w:r>
        <w:rPr>
          <w:lang w:val="hr-HR"/>
        </w:rPr>
        <w:t>Trenutno raspoloživi statistički podaci ukazuju na nastavak trenda rasta i u 2024. godini</w:t>
      </w:r>
      <w:r w:rsidR="007E6AD0">
        <w:rPr>
          <w:lang w:val="hr-HR"/>
        </w:rPr>
        <w:t xml:space="preserve">, pa projicirana stopa ekonomskog rasta na kraju godine iznosi </w:t>
      </w:r>
      <w:r w:rsidR="0096344F">
        <w:rPr>
          <w:lang w:val="hr-HR"/>
        </w:rPr>
        <w:t>2,4% s istim generatorima rasta kao i tijekom 2023. godine.</w:t>
      </w:r>
      <w:r w:rsidR="003245E3">
        <w:rPr>
          <w:lang w:val="hr-HR"/>
        </w:rPr>
        <w:t xml:space="preserve"> Prema preliminarnim procjenama Centralne banke Bosne i Hercegovine, izuzimajući nepredviđene cjenovne šokove, očekuje se blago jačanje inflatornih pritisaka do kraja 2024. godine, prvenstveno zbog </w:t>
      </w:r>
      <w:r w:rsidR="00E516B0">
        <w:rPr>
          <w:lang w:val="hr-HR"/>
        </w:rPr>
        <w:t>niske baze u prethodnoj godini. Stoga se u posljednjem kvartalu 2024. godine očekuje da bi ukupna inflacija mogla iznositi 2,3%</w:t>
      </w:r>
      <w:r w:rsidR="004D59E2">
        <w:rPr>
          <w:lang w:val="hr-HR"/>
        </w:rPr>
        <w:t>, a temeljna inflacija se zadržati na razini od 3,8%.</w:t>
      </w:r>
    </w:p>
    <w:p w14:paraId="7E2FB0CD" w14:textId="2A14442B" w:rsidR="003C7567" w:rsidRPr="00182EF9" w:rsidRDefault="003C7567" w:rsidP="003C7567">
      <w:pPr>
        <w:jc w:val="both"/>
        <w:rPr>
          <w:lang w:val="hr-HR"/>
        </w:rPr>
      </w:pPr>
      <w:r w:rsidRPr="00182EF9">
        <w:rPr>
          <w:lang w:val="hr-HR"/>
        </w:rPr>
        <w:tab/>
        <w:t xml:space="preserve">Ministarstvo financija Županije Posavske je </w:t>
      </w:r>
      <w:r w:rsidR="00BB7B8E">
        <w:rPr>
          <w:lang w:val="hr-HR"/>
        </w:rPr>
        <w:t>koncem</w:t>
      </w:r>
      <w:r w:rsidRPr="00182EF9">
        <w:rPr>
          <w:lang w:val="hr-HR"/>
        </w:rPr>
        <w:t xml:space="preserve"> listopada tekuće godine od Federalnog ministarstva financija primilo revidirane projekcije javnih prihoda za </w:t>
      </w:r>
      <w:r w:rsidR="002647BF">
        <w:rPr>
          <w:lang w:val="hr-HR"/>
        </w:rPr>
        <w:t>2024</w:t>
      </w:r>
      <w:r w:rsidRPr="00182EF9">
        <w:rPr>
          <w:lang w:val="hr-HR"/>
        </w:rPr>
        <w:t xml:space="preserve">. godinu, te projekcije za razdoblje </w:t>
      </w:r>
      <w:r w:rsidR="002647BF">
        <w:rPr>
          <w:lang w:val="hr-HR"/>
        </w:rPr>
        <w:t>2025</w:t>
      </w:r>
      <w:r w:rsidRPr="00182EF9">
        <w:rPr>
          <w:lang w:val="hr-HR"/>
        </w:rPr>
        <w:t>.-</w:t>
      </w:r>
      <w:r w:rsidR="002647BF">
        <w:rPr>
          <w:lang w:val="hr-HR"/>
        </w:rPr>
        <w:t>2027</w:t>
      </w:r>
      <w:r w:rsidRPr="00182EF9">
        <w:rPr>
          <w:lang w:val="hr-HR"/>
        </w:rPr>
        <w:t xml:space="preserve">. godina. Navedene projekcije ukazuju na potrebu korigiranja poreznih prihoda u odnosu na prethodno planirane. Porez na dobit poduzeća se u odnosu na prvobitno planirano </w:t>
      </w:r>
      <w:r w:rsidR="003471A6">
        <w:rPr>
          <w:lang w:val="hr-HR"/>
        </w:rPr>
        <w:t>smanjuje</w:t>
      </w:r>
      <w:r w:rsidRPr="00182EF9">
        <w:rPr>
          <w:lang w:val="hr-HR"/>
        </w:rPr>
        <w:t xml:space="preserve"> za </w:t>
      </w:r>
      <w:r w:rsidR="003471A6">
        <w:rPr>
          <w:lang w:val="hr-HR"/>
        </w:rPr>
        <w:t>5,73</w:t>
      </w:r>
      <w:r w:rsidRPr="00182EF9">
        <w:rPr>
          <w:lang w:val="hr-HR"/>
        </w:rPr>
        <w:t xml:space="preserve">%, porez na dohodak </w:t>
      </w:r>
      <w:r w:rsidR="003471A6">
        <w:rPr>
          <w:lang w:val="hr-HR"/>
        </w:rPr>
        <w:t xml:space="preserve">povećava </w:t>
      </w:r>
      <w:r w:rsidRPr="00182EF9">
        <w:rPr>
          <w:lang w:val="hr-HR"/>
        </w:rPr>
        <w:t xml:space="preserve">za </w:t>
      </w:r>
      <w:r w:rsidR="00F67FBD">
        <w:rPr>
          <w:lang w:val="hr-HR"/>
        </w:rPr>
        <w:t>0,82</w:t>
      </w:r>
      <w:r w:rsidRPr="00182EF9">
        <w:rPr>
          <w:lang w:val="hr-HR"/>
        </w:rPr>
        <w:t>%</w:t>
      </w:r>
      <w:r w:rsidR="001F5E62" w:rsidRPr="00182EF9">
        <w:rPr>
          <w:lang w:val="hr-HR"/>
        </w:rPr>
        <w:t>,</w:t>
      </w:r>
      <w:r w:rsidRPr="00182EF9">
        <w:rPr>
          <w:lang w:val="hr-HR"/>
        </w:rPr>
        <w:t xml:space="preserve"> a</w:t>
      </w:r>
      <w:r w:rsidR="00F67FBD">
        <w:rPr>
          <w:lang w:val="hr-HR"/>
        </w:rPr>
        <w:t xml:space="preserve"> ukupni</w:t>
      </w:r>
      <w:r w:rsidRPr="00182EF9">
        <w:rPr>
          <w:lang w:val="hr-HR"/>
        </w:rPr>
        <w:t xml:space="preserve"> prihodi od </w:t>
      </w:r>
      <w:r w:rsidRPr="00A53E24">
        <w:rPr>
          <w:lang w:val="hr-HR"/>
        </w:rPr>
        <w:t xml:space="preserve">neizravnih poreza </w:t>
      </w:r>
      <w:r w:rsidR="00F67FBD" w:rsidRPr="00A53E24">
        <w:rPr>
          <w:lang w:val="hr-HR"/>
        </w:rPr>
        <w:t xml:space="preserve">se povećavaju </w:t>
      </w:r>
      <w:r w:rsidRPr="00A53E24">
        <w:rPr>
          <w:lang w:val="hr-HR"/>
        </w:rPr>
        <w:t xml:space="preserve">za </w:t>
      </w:r>
      <w:r w:rsidR="00F67FBD" w:rsidRPr="00A53E24">
        <w:rPr>
          <w:lang w:val="hr-HR"/>
        </w:rPr>
        <w:t>9,07</w:t>
      </w:r>
      <w:r w:rsidRPr="00A53E24">
        <w:rPr>
          <w:lang w:val="hr-HR"/>
        </w:rPr>
        <w:t xml:space="preserve">%.  Očekuje se da će ostvarenje neporeznih prihoda u </w:t>
      </w:r>
      <w:r w:rsidR="00BE4553">
        <w:rPr>
          <w:lang w:val="hr-HR"/>
        </w:rPr>
        <w:t>2024</w:t>
      </w:r>
      <w:r w:rsidRPr="00A53E24">
        <w:rPr>
          <w:lang w:val="hr-HR"/>
        </w:rPr>
        <w:t xml:space="preserve">. godini biti </w:t>
      </w:r>
      <w:r w:rsidR="00C76EC1" w:rsidRPr="00A53E24">
        <w:rPr>
          <w:lang w:val="hr-HR"/>
        </w:rPr>
        <w:t xml:space="preserve">nešto </w:t>
      </w:r>
      <w:r w:rsidRPr="00A53E24">
        <w:rPr>
          <w:lang w:val="hr-HR"/>
        </w:rPr>
        <w:t>manje od prvobitno planiranog (</w:t>
      </w:r>
      <w:r w:rsidR="000923CE" w:rsidRPr="00A53E24">
        <w:rPr>
          <w:lang w:val="hr-HR"/>
        </w:rPr>
        <w:t>4,78</w:t>
      </w:r>
      <w:r w:rsidRPr="00A53E24">
        <w:rPr>
          <w:lang w:val="hr-HR"/>
        </w:rPr>
        <w:t xml:space="preserve">% manje), što je najvećim dijelom povezano s planiranim izmjenama njihove namjenske potrošnje. Plan tekućih i kapitalnih potpora Proračuna Županije Posavske, s osobitim naglaskom na tekuću potporu iz Proračuna Federacije Bosne i Hercegovine za infrastrukturne projekte, usklađene su s planom njihove potrošnje do konca </w:t>
      </w:r>
      <w:r w:rsidR="00A53E24" w:rsidRPr="00A53E24">
        <w:rPr>
          <w:lang w:val="hr-HR"/>
        </w:rPr>
        <w:t>2024</w:t>
      </w:r>
      <w:r w:rsidRPr="00A53E24">
        <w:rPr>
          <w:lang w:val="hr-HR"/>
        </w:rPr>
        <w:t>. godinu, pa je gdje je potrebno izvršeno njihovo umanjenje u svrhu prijenosa u sljedeću proračunsku godinu.</w:t>
      </w:r>
    </w:p>
    <w:p w14:paraId="2A248ED8" w14:textId="32AE4D6C" w:rsidR="002D360B" w:rsidRPr="00182EF9" w:rsidRDefault="00057AEC" w:rsidP="002D360B">
      <w:pPr>
        <w:jc w:val="both"/>
        <w:rPr>
          <w:lang w:val="hr-HR"/>
        </w:rPr>
      </w:pPr>
      <w:r w:rsidRPr="00182EF9">
        <w:rPr>
          <w:lang w:val="hr-HR"/>
        </w:rPr>
        <w:tab/>
        <w:t xml:space="preserve">Od </w:t>
      </w:r>
      <w:r w:rsidR="00E532A2" w:rsidRPr="00182EF9">
        <w:rPr>
          <w:lang w:val="hr-HR"/>
        </w:rPr>
        <w:t>početka fiskalne</w:t>
      </w:r>
      <w:r w:rsidRPr="00182EF9">
        <w:rPr>
          <w:lang w:val="hr-HR"/>
        </w:rPr>
        <w:t xml:space="preserve"> </w:t>
      </w:r>
      <w:r w:rsidR="0052130E">
        <w:rPr>
          <w:lang w:val="hr-HR"/>
        </w:rPr>
        <w:t>2024</w:t>
      </w:r>
      <w:r w:rsidRPr="00182EF9">
        <w:rPr>
          <w:lang w:val="hr-HR"/>
        </w:rPr>
        <w:t xml:space="preserve">. godinu </w:t>
      </w:r>
      <w:r w:rsidR="002D360B" w:rsidRPr="00182EF9">
        <w:rPr>
          <w:lang w:val="hr-HR"/>
        </w:rPr>
        <w:t xml:space="preserve">Vlada Županije Posavske donijela je </w:t>
      </w:r>
      <w:r w:rsidR="009C5087">
        <w:rPr>
          <w:lang w:val="hr-HR"/>
        </w:rPr>
        <w:t>pet</w:t>
      </w:r>
      <w:r w:rsidR="002D360B" w:rsidRPr="00182EF9">
        <w:rPr>
          <w:lang w:val="hr-HR"/>
        </w:rPr>
        <w:t xml:space="preserve"> Odluka o unosu i raspoređivanju sredstava u Proračun Županije Posavske za </w:t>
      </w:r>
      <w:r w:rsidR="009C5087">
        <w:rPr>
          <w:lang w:val="hr-HR"/>
        </w:rPr>
        <w:t>2024</w:t>
      </w:r>
      <w:r w:rsidR="002D360B" w:rsidRPr="00182EF9">
        <w:rPr>
          <w:lang w:val="hr-HR"/>
        </w:rPr>
        <w:t>. godinu, čime su se ukupni prihodi primici i financiranje, kao i ukupni rashodi i izdaci, poveća</w:t>
      </w:r>
      <w:r w:rsidR="00E532A2" w:rsidRPr="00182EF9">
        <w:rPr>
          <w:lang w:val="hr-HR"/>
        </w:rPr>
        <w:t>l</w:t>
      </w:r>
      <w:r w:rsidR="002D360B" w:rsidRPr="00182EF9">
        <w:rPr>
          <w:lang w:val="hr-HR"/>
        </w:rPr>
        <w:t xml:space="preserve">i za </w:t>
      </w:r>
      <w:r w:rsidR="00383451">
        <w:rPr>
          <w:lang w:val="hr-HR"/>
        </w:rPr>
        <w:t>568.493</w:t>
      </w:r>
      <w:r w:rsidR="002D360B" w:rsidRPr="00182EF9">
        <w:rPr>
          <w:lang w:val="hr-HR"/>
        </w:rPr>
        <w:t xml:space="preserve"> KM. Unosi i raspoređivanja vršena su sukladno odredbama Zakona o proračunima u FBiH (»Službene novine Federacije BiH«, broj: 102/13, 9/14, 13/14, 8/15, 91/15, 102/15, 104/16, 5/18, 11/19</w:t>
      </w:r>
      <w:r w:rsidR="007D320C" w:rsidRPr="00182EF9">
        <w:rPr>
          <w:lang w:val="hr-HR"/>
        </w:rPr>
        <w:t>,</w:t>
      </w:r>
      <w:r w:rsidR="002D360B" w:rsidRPr="00182EF9">
        <w:rPr>
          <w:lang w:val="hr-HR"/>
        </w:rPr>
        <w:t xml:space="preserve"> 99/19</w:t>
      </w:r>
      <w:r w:rsidR="007D320C" w:rsidRPr="00182EF9">
        <w:rPr>
          <w:lang w:val="hr-HR"/>
        </w:rPr>
        <w:t xml:space="preserve"> i 25a/22</w:t>
      </w:r>
      <w:r w:rsidR="002D360B" w:rsidRPr="00182EF9">
        <w:rPr>
          <w:lang w:val="hr-HR"/>
        </w:rPr>
        <w:t xml:space="preserve">) i Zakona o izvršavanju Proračuna Županije Posavske za </w:t>
      </w:r>
      <w:r w:rsidR="00523C90">
        <w:rPr>
          <w:lang w:val="hr-HR"/>
        </w:rPr>
        <w:t>2024</w:t>
      </w:r>
      <w:r w:rsidR="002D360B" w:rsidRPr="00182EF9">
        <w:rPr>
          <w:lang w:val="hr-HR"/>
        </w:rPr>
        <w:t xml:space="preserve">. godinu („Narodne novine Županije Posavske“, broj: </w:t>
      </w:r>
      <w:r w:rsidR="00E532A2" w:rsidRPr="00182EF9">
        <w:rPr>
          <w:lang w:val="hr-HR"/>
        </w:rPr>
        <w:t>20/2</w:t>
      </w:r>
      <w:r w:rsidR="00383451">
        <w:rPr>
          <w:lang w:val="hr-HR"/>
        </w:rPr>
        <w:t>3</w:t>
      </w:r>
      <w:r w:rsidR="002D360B" w:rsidRPr="00182EF9">
        <w:rPr>
          <w:lang w:val="hr-HR"/>
        </w:rPr>
        <w:t xml:space="preserve">). Planirani </w:t>
      </w:r>
      <w:r w:rsidR="003C7567" w:rsidRPr="00182EF9">
        <w:rPr>
          <w:lang w:val="hr-HR"/>
        </w:rPr>
        <w:t>financijski rezultat</w:t>
      </w:r>
      <w:r w:rsidR="002D360B" w:rsidRPr="00182EF9">
        <w:rPr>
          <w:lang w:val="hr-HR"/>
        </w:rPr>
        <w:t xml:space="preserve"> je ostao nepromijenjen.</w:t>
      </w:r>
    </w:p>
    <w:p w14:paraId="2A248EDD" w14:textId="77777777" w:rsidR="002D360B" w:rsidRPr="00182EF9" w:rsidRDefault="002D360B" w:rsidP="002D360B">
      <w:pPr>
        <w:ind w:firstLine="720"/>
        <w:jc w:val="both"/>
        <w:rPr>
          <w:lang w:val="hr-HR"/>
        </w:rPr>
      </w:pPr>
      <w:r w:rsidRPr="00182EF9">
        <w:rPr>
          <w:lang w:val="hr-HR"/>
        </w:rPr>
        <w:t>Pregled unesenih i raspoređenih sredstava:</w:t>
      </w:r>
    </w:p>
    <w:p w14:paraId="2A248EDE" w14:textId="77777777" w:rsidR="002D360B" w:rsidRPr="00182EF9" w:rsidRDefault="002D360B" w:rsidP="002D360B">
      <w:pPr>
        <w:jc w:val="both"/>
        <w:rPr>
          <w:lang w:val="hr-HR"/>
        </w:rPr>
      </w:pPr>
    </w:p>
    <w:tbl>
      <w:tblPr>
        <w:tblStyle w:val="Svijetlareetka-Isticanje11"/>
        <w:tblW w:w="0" w:type="auto"/>
        <w:tblLook w:val="04A0" w:firstRow="1" w:lastRow="0" w:firstColumn="1" w:lastColumn="0" w:noHBand="0" w:noVBand="1"/>
      </w:tblPr>
      <w:tblGrid>
        <w:gridCol w:w="535"/>
        <w:gridCol w:w="3942"/>
        <w:gridCol w:w="1744"/>
        <w:gridCol w:w="895"/>
        <w:gridCol w:w="987"/>
        <w:gridCol w:w="1260"/>
      </w:tblGrid>
      <w:tr w:rsidR="002D360B" w:rsidRPr="00182EF9" w14:paraId="2A248EE5" w14:textId="77777777" w:rsidTr="00C42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A248EDF" w14:textId="77777777" w:rsidR="002D360B" w:rsidRPr="00182EF9" w:rsidRDefault="002D360B" w:rsidP="00691888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RB</w:t>
            </w:r>
          </w:p>
        </w:tc>
        <w:tc>
          <w:tcPr>
            <w:tcW w:w="3942" w:type="dxa"/>
            <w:vAlign w:val="center"/>
          </w:tcPr>
          <w:p w14:paraId="2A248EE0" w14:textId="77777777" w:rsidR="002D360B" w:rsidRPr="00182EF9" w:rsidRDefault="002D360B" w:rsidP="006918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Proračunski korisnik</w:t>
            </w:r>
          </w:p>
        </w:tc>
        <w:tc>
          <w:tcPr>
            <w:tcW w:w="1744" w:type="dxa"/>
            <w:vAlign w:val="center"/>
          </w:tcPr>
          <w:p w14:paraId="2A248EE1" w14:textId="77777777" w:rsidR="002D360B" w:rsidRPr="00182EF9" w:rsidRDefault="002D360B" w:rsidP="006918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Broj Odluke Vlade ŽP</w:t>
            </w:r>
          </w:p>
        </w:tc>
        <w:tc>
          <w:tcPr>
            <w:tcW w:w="895" w:type="dxa"/>
            <w:vAlign w:val="center"/>
          </w:tcPr>
          <w:p w14:paraId="2A248EE2" w14:textId="77777777" w:rsidR="002D360B" w:rsidRPr="00182EF9" w:rsidRDefault="002D360B" w:rsidP="006918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Konto prihoda</w:t>
            </w:r>
          </w:p>
        </w:tc>
        <w:tc>
          <w:tcPr>
            <w:tcW w:w="987" w:type="dxa"/>
            <w:vAlign w:val="center"/>
          </w:tcPr>
          <w:p w14:paraId="2A248EE3" w14:textId="77777777" w:rsidR="002D360B" w:rsidRPr="00182EF9" w:rsidRDefault="002D360B" w:rsidP="006918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Grupa rashoda</w:t>
            </w:r>
          </w:p>
        </w:tc>
        <w:tc>
          <w:tcPr>
            <w:tcW w:w="1260" w:type="dxa"/>
            <w:vAlign w:val="center"/>
          </w:tcPr>
          <w:p w14:paraId="2A248EE4" w14:textId="77777777" w:rsidR="002D360B" w:rsidRPr="00182EF9" w:rsidRDefault="002D360B" w:rsidP="006918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Iznos (KM)</w:t>
            </w:r>
          </w:p>
        </w:tc>
      </w:tr>
      <w:tr w:rsidR="002D360B" w:rsidRPr="00182EF9" w14:paraId="2A248EEC" w14:textId="77777777" w:rsidTr="00C42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A248EE6" w14:textId="77777777" w:rsidR="002D360B" w:rsidRPr="00182EF9" w:rsidRDefault="002D360B" w:rsidP="00691888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1.</w:t>
            </w:r>
          </w:p>
        </w:tc>
        <w:tc>
          <w:tcPr>
            <w:tcW w:w="3942" w:type="dxa"/>
            <w:vAlign w:val="center"/>
          </w:tcPr>
          <w:p w14:paraId="2A248EE7" w14:textId="5241B4BC" w:rsidR="002D360B" w:rsidRPr="00182EF9" w:rsidRDefault="002D360B" w:rsidP="006918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 w:rsidRPr="00182EF9">
              <w:rPr>
                <w:sz w:val="20"/>
                <w:szCs w:val="20"/>
                <w:lang w:val="hr-HR"/>
              </w:rPr>
              <w:t>Minist</w:t>
            </w:r>
            <w:r w:rsidR="0091407B">
              <w:rPr>
                <w:sz w:val="20"/>
                <w:szCs w:val="20"/>
                <w:lang w:val="hr-HR"/>
              </w:rPr>
              <w:t>.</w:t>
            </w:r>
            <w:r w:rsidRPr="00182EF9">
              <w:rPr>
                <w:sz w:val="20"/>
                <w:szCs w:val="20"/>
                <w:lang w:val="hr-HR"/>
              </w:rPr>
              <w:t xml:space="preserve">prosvjete, znanosti, kulture i sporta </w:t>
            </w:r>
          </w:p>
        </w:tc>
        <w:tc>
          <w:tcPr>
            <w:tcW w:w="1744" w:type="dxa"/>
            <w:vAlign w:val="center"/>
          </w:tcPr>
          <w:p w14:paraId="2A248EE8" w14:textId="08B306E5" w:rsidR="002D360B" w:rsidRPr="00182EF9" w:rsidRDefault="002D360B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 w:rsidRPr="00182EF9">
              <w:rPr>
                <w:sz w:val="20"/>
                <w:szCs w:val="20"/>
                <w:lang w:val="hr-HR"/>
              </w:rPr>
              <w:t>01-02-</w:t>
            </w:r>
            <w:r w:rsidR="001A663B">
              <w:rPr>
                <w:sz w:val="20"/>
                <w:szCs w:val="20"/>
                <w:lang w:val="hr-HR"/>
              </w:rPr>
              <w:t>219/24</w:t>
            </w:r>
          </w:p>
        </w:tc>
        <w:tc>
          <w:tcPr>
            <w:tcW w:w="895" w:type="dxa"/>
            <w:vAlign w:val="center"/>
          </w:tcPr>
          <w:p w14:paraId="2A248EE9" w14:textId="56DA121E" w:rsidR="002D360B" w:rsidRPr="00182EF9" w:rsidRDefault="001A663B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732112</w:t>
            </w:r>
          </w:p>
        </w:tc>
        <w:tc>
          <w:tcPr>
            <w:tcW w:w="987" w:type="dxa"/>
            <w:vAlign w:val="center"/>
          </w:tcPr>
          <w:p w14:paraId="2A248EEA" w14:textId="22D8FBEF" w:rsidR="002D360B" w:rsidRPr="00182EF9" w:rsidRDefault="001A663B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821300</w:t>
            </w:r>
          </w:p>
        </w:tc>
        <w:tc>
          <w:tcPr>
            <w:tcW w:w="1260" w:type="dxa"/>
            <w:vAlign w:val="center"/>
          </w:tcPr>
          <w:p w14:paraId="2A248EEB" w14:textId="381D156E" w:rsidR="002D360B" w:rsidRPr="00182EF9" w:rsidRDefault="001A663B" w:rsidP="006918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29.929,40</w:t>
            </w:r>
          </w:p>
        </w:tc>
      </w:tr>
      <w:tr w:rsidR="002D360B" w:rsidRPr="00182EF9" w14:paraId="2A248EF3" w14:textId="77777777" w:rsidTr="00C42A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A248EED" w14:textId="77777777" w:rsidR="002D360B" w:rsidRPr="00182EF9" w:rsidRDefault="002D360B" w:rsidP="00691888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2.</w:t>
            </w:r>
          </w:p>
        </w:tc>
        <w:tc>
          <w:tcPr>
            <w:tcW w:w="3942" w:type="dxa"/>
            <w:vAlign w:val="center"/>
          </w:tcPr>
          <w:p w14:paraId="2A248EEE" w14:textId="1E04E599" w:rsidR="002D360B" w:rsidRPr="00182EF9" w:rsidRDefault="00A6718D" w:rsidP="006918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Osnovna škola A.G.Matoša u Vidovicama</w:t>
            </w:r>
          </w:p>
        </w:tc>
        <w:tc>
          <w:tcPr>
            <w:tcW w:w="1744" w:type="dxa"/>
            <w:vAlign w:val="center"/>
          </w:tcPr>
          <w:p w14:paraId="2A248EEF" w14:textId="4A0E2541" w:rsidR="002D360B" w:rsidRPr="00182EF9" w:rsidRDefault="00A6718D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01-02-220/24</w:t>
            </w:r>
          </w:p>
        </w:tc>
        <w:tc>
          <w:tcPr>
            <w:tcW w:w="895" w:type="dxa"/>
            <w:vAlign w:val="center"/>
          </w:tcPr>
          <w:p w14:paraId="2A248EF0" w14:textId="7A293E3E" w:rsidR="002D360B" w:rsidRPr="00182EF9" w:rsidRDefault="00A6718D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741111</w:t>
            </w:r>
          </w:p>
        </w:tc>
        <w:tc>
          <w:tcPr>
            <w:tcW w:w="987" w:type="dxa"/>
            <w:vAlign w:val="center"/>
          </w:tcPr>
          <w:p w14:paraId="2A248EF1" w14:textId="2C61A986" w:rsidR="002D360B" w:rsidRPr="00182EF9" w:rsidRDefault="00A6718D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821200</w:t>
            </w:r>
          </w:p>
        </w:tc>
        <w:tc>
          <w:tcPr>
            <w:tcW w:w="1260" w:type="dxa"/>
            <w:vAlign w:val="center"/>
          </w:tcPr>
          <w:p w14:paraId="2A248EF2" w14:textId="3FF34870" w:rsidR="002D360B" w:rsidRPr="00182EF9" w:rsidRDefault="00A6718D" w:rsidP="006918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9.779,15</w:t>
            </w:r>
          </w:p>
        </w:tc>
      </w:tr>
      <w:tr w:rsidR="002D360B" w:rsidRPr="00182EF9" w14:paraId="2A248EFA" w14:textId="77777777" w:rsidTr="00C42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DBE5F1" w:themeFill="accent1" w:themeFillTint="33"/>
            <w:vAlign w:val="center"/>
          </w:tcPr>
          <w:p w14:paraId="2A248EF4" w14:textId="745DF22E" w:rsidR="002D360B" w:rsidRPr="00182EF9" w:rsidRDefault="00C42A3B" w:rsidP="00691888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3.</w:t>
            </w:r>
          </w:p>
        </w:tc>
        <w:tc>
          <w:tcPr>
            <w:tcW w:w="3942" w:type="dxa"/>
            <w:shd w:val="clear" w:color="auto" w:fill="DBE5F1" w:themeFill="accent1" w:themeFillTint="33"/>
            <w:vAlign w:val="center"/>
          </w:tcPr>
          <w:p w14:paraId="2A248EF5" w14:textId="39068D02" w:rsidR="002D360B" w:rsidRPr="00182EF9" w:rsidRDefault="00E14496" w:rsidP="006918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 w:rsidRPr="00182EF9">
              <w:rPr>
                <w:sz w:val="20"/>
                <w:szCs w:val="20"/>
                <w:lang w:val="hr-HR"/>
              </w:rPr>
              <w:t>Minist</w:t>
            </w:r>
            <w:r w:rsidR="0091407B">
              <w:rPr>
                <w:sz w:val="20"/>
                <w:szCs w:val="20"/>
                <w:lang w:val="hr-HR"/>
              </w:rPr>
              <w:t>.</w:t>
            </w:r>
            <w:r w:rsidRPr="00182EF9">
              <w:rPr>
                <w:sz w:val="20"/>
                <w:szCs w:val="20"/>
                <w:lang w:val="hr-HR"/>
              </w:rPr>
              <w:t>prosvjete, znanosti, kulture i sporta</w:t>
            </w:r>
          </w:p>
        </w:tc>
        <w:tc>
          <w:tcPr>
            <w:tcW w:w="1744" w:type="dxa"/>
            <w:shd w:val="clear" w:color="auto" w:fill="DBE5F1" w:themeFill="accent1" w:themeFillTint="33"/>
            <w:vAlign w:val="center"/>
          </w:tcPr>
          <w:p w14:paraId="2A248EF6" w14:textId="263263CA" w:rsidR="002D360B" w:rsidRPr="00182EF9" w:rsidRDefault="00E14496" w:rsidP="002D36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01-02-357/24</w:t>
            </w:r>
          </w:p>
        </w:tc>
        <w:tc>
          <w:tcPr>
            <w:tcW w:w="895" w:type="dxa"/>
            <w:shd w:val="clear" w:color="auto" w:fill="DBE5F1" w:themeFill="accent1" w:themeFillTint="33"/>
            <w:vAlign w:val="center"/>
          </w:tcPr>
          <w:p w14:paraId="2A248EF7" w14:textId="223E2C60" w:rsidR="002D360B" w:rsidRPr="00182EF9" w:rsidRDefault="00D24B9B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732112</w:t>
            </w:r>
          </w:p>
        </w:tc>
        <w:tc>
          <w:tcPr>
            <w:tcW w:w="987" w:type="dxa"/>
            <w:shd w:val="clear" w:color="auto" w:fill="DBE5F1" w:themeFill="accent1" w:themeFillTint="33"/>
            <w:vAlign w:val="center"/>
          </w:tcPr>
          <w:p w14:paraId="2A248EF8" w14:textId="18AEA936" w:rsidR="002D360B" w:rsidRPr="00182EF9" w:rsidRDefault="000A06D2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613400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2A248EF9" w14:textId="6AC74B0B" w:rsidR="002D360B" w:rsidRPr="00182EF9" w:rsidRDefault="000A06D2" w:rsidP="006918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338.784,24</w:t>
            </w:r>
          </w:p>
        </w:tc>
      </w:tr>
      <w:tr w:rsidR="002D360B" w:rsidRPr="00182EF9" w14:paraId="2A248F01" w14:textId="77777777" w:rsidTr="00C42A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  <w:vAlign w:val="center"/>
          </w:tcPr>
          <w:p w14:paraId="2A248EFB" w14:textId="5E7349C7" w:rsidR="002D360B" w:rsidRPr="00182EF9" w:rsidRDefault="00C42A3B" w:rsidP="00691888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182EF9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4.</w:t>
            </w:r>
          </w:p>
        </w:tc>
        <w:tc>
          <w:tcPr>
            <w:tcW w:w="3942" w:type="dxa"/>
            <w:shd w:val="clear" w:color="auto" w:fill="FFFFFF" w:themeFill="background1"/>
            <w:vAlign w:val="center"/>
          </w:tcPr>
          <w:p w14:paraId="2A248EFC" w14:textId="3A875A9B" w:rsidR="002D360B" w:rsidRPr="00182EF9" w:rsidRDefault="00E14496" w:rsidP="006918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 w:rsidRPr="00182EF9">
              <w:rPr>
                <w:sz w:val="20"/>
                <w:szCs w:val="20"/>
                <w:lang w:val="hr-HR"/>
              </w:rPr>
              <w:t>Minist</w:t>
            </w:r>
            <w:r w:rsidR="0091407B">
              <w:rPr>
                <w:sz w:val="20"/>
                <w:szCs w:val="20"/>
                <w:lang w:val="hr-HR"/>
              </w:rPr>
              <w:t>.</w:t>
            </w:r>
            <w:r w:rsidRPr="00182EF9">
              <w:rPr>
                <w:sz w:val="20"/>
                <w:szCs w:val="20"/>
                <w:lang w:val="hr-HR"/>
              </w:rPr>
              <w:t>prosvjete, znanosti, kulture i sporta</w:t>
            </w:r>
          </w:p>
        </w:tc>
        <w:tc>
          <w:tcPr>
            <w:tcW w:w="1744" w:type="dxa"/>
            <w:shd w:val="clear" w:color="auto" w:fill="FFFFFF" w:themeFill="background1"/>
            <w:vAlign w:val="center"/>
          </w:tcPr>
          <w:p w14:paraId="2A248EFD" w14:textId="1AAEF43A" w:rsidR="002D360B" w:rsidRPr="00182EF9" w:rsidRDefault="000A06D2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01-02-</w:t>
            </w:r>
            <w:r w:rsidR="00E268CE">
              <w:rPr>
                <w:sz w:val="20"/>
                <w:szCs w:val="20"/>
                <w:lang w:val="hr-HR"/>
              </w:rPr>
              <w:t>497/24</w:t>
            </w:r>
          </w:p>
        </w:tc>
        <w:tc>
          <w:tcPr>
            <w:tcW w:w="895" w:type="dxa"/>
            <w:shd w:val="clear" w:color="auto" w:fill="FFFFFF" w:themeFill="background1"/>
            <w:vAlign w:val="center"/>
          </w:tcPr>
          <w:p w14:paraId="2A248EFE" w14:textId="25021D21" w:rsidR="002D360B" w:rsidRPr="00182EF9" w:rsidRDefault="00E268CE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742112</w:t>
            </w:r>
          </w:p>
        </w:tc>
        <w:tc>
          <w:tcPr>
            <w:tcW w:w="987" w:type="dxa"/>
            <w:shd w:val="clear" w:color="auto" w:fill="FFFFFF" w:themeFill="background1"/>
            <w:vAlign w:val="center"/>
          </w:tcPr>
          <w:p w14:paraId="2A248EFF" w14:textId="13EB17BC" w:rsidR="002D360B" w:rsidRPr="00182EF9" w:rsidRDefault="00E268CE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821200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A248F00" w14:textId="29D2B044" w:rsidR="002D360B" w:rsidRPr="00182EF9" w:rsidRDefault="000A06D2" w:rsidP="006918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100.000,00</w:t>
            </w:r>
          </w:p>
        </w:tc>
      </w:tr>
      <w:tr w:rsidR="002D360B" w:rsidRPr="00182EF9" w14:paraId="2A248F08" w14:textId="77777777" w:rsidTr="00C42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DBE5F1" w:themeFill="accent1" w:themeFillTint="33"/>
            <w:vAlign w:val="center"/>
          </w:tcPr>
          <w:p w14:paraId="2A248F02" w14:textId="3DDD0E10" w:rsidR="002D360B" w:rsidRPr="00182EF9" w:rsidRDefault="00E14496" w:rsidP="00691888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5.</w:t>
            </w:r>
          </w:p>
        </w:tc>
        <w:tc>
          <w:tcPr>
            <w:tcW w:w="3942" w:type="dxa"/>
            <w:shd w:val="clear" w:color="auto" w:fill="DBE5F1" w:themeFill="accent1" w:themeFillTint="33"/>
            <w:vAlign w:val="center"/>
          </w:tcPr>
          <w:p w14:paraId="2A248F03" w14:textId="7DB583E7" w:rsidR="002D360B" w:rsidRPr="00182EF9" w:rsidRDefault="00E14496" w:rsidP="002D36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 w:rsidRPr="00182EF9">
              <w:rPr>
                <w:sz w:val="20"/>
                <w:szCs w:val="20"/>
                <w:lang w:val="hr-HR"/>
              </w:rPr>
              <w:t>Minist</w:t>
            </w:r>
            <w:r w:rsidR="0091407B">
              <w:rPr>
                <w:sz w:val="20"/>
                <w:szCs w:val="20"/>
                <w:lang w:val="hr-HR"/>
              </w:rPr>
              <w:t>.</w:t>
            </w:r>
            <w:r w:rsidRPr="00182EF9">
              <w:rPr>
                <w:sz w:val="20"/>
                <w:szCs w:val="20"/>
                <w:lang w:val="hr-HR"/>
              </w:rPr>
              <w:t>prosvjete, znanosti, kulture i sporta</w:t>
            </w:r>
          </w:p>
        </w:tc>
        <w:tc>
          <w:tcPr>
            <w:tcW w:w="1744" w:type="dxa"/>
            <w:shd w:val="clear" w:color="auto" w:fill="DBE5F1" w:themeFill="accent1" w:themeFillTint="33"/>
            <w:vAlign w:val="center"/>
          </w:tcPr>
          <w:p w14:paraId="2A248F04" w14:textId="28883462" w:rsidR="002D360B" w:rsidRPr="00182EF9" w:rsidRDefault="00E268CE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01-02-498/24</w:t>
            </w:r>
          </w:p>
        </w:tc>
        <w:tc>
          <w:tcPr>
            <w:tcW w:w="895" w:type="dxa"/>
            <w:shd w:val="clear" w:color="auto" w:fill="DBE5F1" w:themeFill="accent1" w:themeFillTint="33"/>
            <w:vAlign w:val="center"/>
          </w:tcPr>
          <w:p w14:paraId="2A248F05" w14:textId="323625CF" w:rsidR="002D360B" w:rsidRPr="00182EF9" w:rsidRDefault="00E268CE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742112</w:t>
            </w:r>
          </w:p>
        </w:tc>
        <w:tc>
          <w:tcPr>
            <w:tcW w:w="987" w:type="dxa"/>
            <w:shd w:val="clear" w:color="auto" w:fill="DBE5F1" w:themeFill="accent1" w:themeFillTint="33"/>
            <w:vAlign w:val="center"/>
          </w:tcPr>
          <w:p w14:paraId="2A248F06" w14:textId="085FAC37" w:rsidR="002D360B" w:rsidRPr="00182EF9" w:rsidRDefault="00E268CE" w:rsidP="006918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821200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2A248F07" w14:textId="13EB4A90" w:rsidR="002D360B" w:rsidRPr="00182EF9" w:rsidRDefault="000A06D2" w:rsidP="006918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90.000,00</w:t>
            </w:r>
          </w:p>
        </w:tc>
      </w:tr>
      <w:tr w:rsidR="002D360B" w:rsidRPr="00182EF9" w14:paraId="2A248F2B" w14:textId="77777777" w:rsidTr="00C42A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2A248F25" w14:textId="77777777" w:rsidR="002D360B" w:rsidRPr="00182EF9" w:rsidRDefault="002D360B" w:rsidP="00691888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</w:pPr>
          </w:p>
        </w:tc>
        <w:tc>
          <w:tcPr>
            <w:tcW w:w="3942" w:type="dxa"/>
            <w:shd w:val="clear" w:color="auto" w:fill="FFFFFF" w:themeFill="background1"/>
            <w:vAlign w:val="center"/>
          </w:tcPr>
          <w:p w14:paraId="2A248F26" w14:textId="77777777" w:rsidR="002D360B" w:rsidRPr="00182EF9" w:rsidRDefault="002D360B" w:rsidP="006918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  <w:lang w:val="hr-HR"/>
              </w:rPr>
            </w:pPr>
            <w:r w:rsidRPr="00182EF9">
              <w:rPr>
                <w:b/>
                <w:sz w:val="20"/>
                <w:szCs w:val="20"/>
                <w:lang w:val="hr-HR"/>
              </w:rPr>
              <w:t>UKUPNO:</w:t>
            </w:r>
          </w:p>
        </w:tc>
        <w:tc>
          <w:tcPr>
            <w:tcW w:w="1744" w:type="dxa"/>
            <w:shd w:val="clear" w:color="auto" w:fill="FFFFFF" w:themeFill="background1"/>
            <w:vAlign w:val="center"/>
          </w:tcPr>
          <w:p w14:paraId="2A248F27" w14:textId="77777777" w:rsidR="002D360B" w:rsidRPr="00182EF9" w:rsidRDefault="002D360B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  <w:lang w:val="hr-HR"/>
              </w:rPr>
            </w:pPr>
          </w:p>
        </w:tc>
        <w:tc>
          <w:tcPr>
            <w:tcW w:w="895" w:type="dxa"/>
            <w:shd w:val="clear" w:color="auto" w:fill="FFFFFF" w:themeFill="background1"/>
            <w:vAlign w:val="center"/>
          </w:tcPr>
          <w:p w14:paraId="2A248F28" w14:textId="77777777" w:rsidR="002D360B" w:rsidRPr="00182EF9" w:rsidRDefault="002D360B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  <w:lang w:val="hr-HR"/>
              </w:rPr>
            </w:pPr>
          </w:p>
        </w:tc>
        <w:tc>
          <w:tcPr>
            <w:tcW w:w="987" w:type="dxa"/>
            <w:shd w:val="clear" w:color="auto" w:fill="FFFFFF" w:themeFill="background1"/>
            <w:vAlign w:val="center"/>
          </w:tcPr>
          <w:p w14:paraId="2A248F29" w14:textId="77777777" w:rsidR="002D360B" w:rsidRPr="00182EF9" w:rsidRDefault="002D360B" w:rsidP="0069188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  <w:lang w:val="hr-HR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A248F2A" w14:textId="7AF3D41F" w:rsidR="002D360B" w:rsidRPr="00182EF9" w:rsidRDefault="00E268CE" w:rsidP="006918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fldChar w:fldCharType="begin"/>
            </w:r>
            <w:r>
              <w:rPr>
                <w:b/>
                <w:sz w:val="20"/>
                <w:szCs w:val="20"/>
                <w:lang w:val="hr-HR"/>
              </w:rPr>
              <w:instrText xml:space="preserve"> =SUM(ABOVE) </w:instrText>
            </w:r>
            <w:r>
              <w:rPr>
                <w:b/>
                <w:sz w:val="20"/>
                <w:szCs w:val="20"/>
                <w:lang w:val="hr-HR"/>
              </w:rPr>
              <w:fldChar w:fldCharType="separate"/>
            </w:r>
            <w:r>
              <w:rPr>
                <w:b/>
                <w:noProof/>
                <w:sz w:val="20"/>
                <w:szCs w:val="20"/>
                <w:lang w:val="hr-HR"/>
              </w:rPr>
              <w:t>568.492,79</w:t>
            </w:r>
            <w:r>
              <w:rPr>
                <w:b/>
                <w:sz w:val="20"/>
                <w:szCs w:val="20"/>
                <w:lang w:val="hr-HR"/>
              </w:rPr>
              <w:fldChar w:fldCharType="end"/>
            </w:r>
          </w:p>
        </w:tc>
      </w:tr>
    </w:tbl>
    <w:p w14:paraId="5E87F063" w14:textId="77777777" w:rsidR="00BE446F" w:rsidRDefault="00BE446F" w:rsidP="002D360B">
      <w:pPr>
        <w:ind w:firstLine="720"/>
        <w:jc w:val="both"/>
        <w:rPr>
          <w:lang w:val="hr-HR"/>
        </w:rPr>
      </w:pPr>
    </w:p>
    <w:p w14:paraId="2A248F2D" w14:textId="4957F22E" w:rsidR="002D360B" w:rsidRPr="00182EF9" w:rsidRDefault="002D360B" w:rsidP="002D360B">
      <w:pPr>
        <w:ind w:firstLine="720"/>
        <w:jc w:val="both"/>
        <w:rPr>
          <w:lang w:val="hr-HR"/>
        </w:rPr>
      </w:pPr>
      <w:r w:rsidRPr="00182EF9">
        <w:rPr>
          <w:lang w:val="hr-HR"/>
        </w:rPr>
        <w:lastRenderedPageBreak/>
        <w:t xml:space="preserve">U istom razdoblju doneseno je </w:t>
      </w:r>
      <w:r w:rsidR="00BE446F">
        <w:rPr>
          <w:lang w:val="hr-HR"/>
        </w:rPr>
        <w:t>dvanaest (12)</w:t>
      </w:r>
      <w:r w:rsidRPr="00182EF9">
        <w:rPr>
          <w:lang w:val="hr-HR"/>
        </w:rPr>
        <w:t xml:space="preserve"> Odluka o prestrukturiranju rashoda u Proračunu Županije Posavske za </w:t>
      </w:r>
      <w:r w:rsidR="00C42A3B" w:rsidRPr="00182EF9">
        <w:rPr>
          <w:lang w:val="hr-HR"/>
        </w:rPr>
        <w:t>202</w:t>
      </w:r>
      <w:r w:rsidR="00BE446F">
        <w:rPr>
          <w:lang w:val="hr-HR"/>
        </w:rPr>
        <w:t>4</w:t>
      </w:r>
      <w:r w:rsidRPr="00182EF9">
        <w:rPr>
          <w:lang w:val="hr-HR"/>
        </w:rPr>
        <w:t xml:space="preserve">. godinu i </w:t>
      </w:r>
      <w:r w:rsidR="001C6D88">
        <w:rPr>
          <w:lang w:val="hr-HR"/>
        </w:rPr>
        <w:t>tri</w:t>
      </w:r>
      <w:r w:rsidRPr="00182EF9">
        <w:rPr>
          <w:lang w:val="hr-HR"/>
        </w:rPr>
        <w:t xml:space="preserve"> (</w:t>
      </w:r>
      <w:r w:rsidR="001C6D88">
        <w:rPr>
          <w:lang w:val="hr-HR"/>
        </w:rPr>
        <w:t>3</w:t>
      </w:r>
      <w:r w:rsidRPr="00182EF9">
        <w:rPr>
          <w:lang w:val="hr-HR"/>
        </w:rPr>
        <w:t>) Odluk</w:t>
      </w:r>
      <w:r w:rsidR="001C6D88">
        <w:rPr>
          <w:lang w:val="hr-HR"/>
        </w:rPr>
        <w:t>e</w:t>
      </w:r>
      <w:r w:rsidRPr="00182EF9">
        <w:rPr>
          <w:lang w:val="hr-HR"/>
        </w:rPr>
        <w:t xml:space="preserve"> o preraspodjeli sredstava između proračunskih korisnika. U nastavku teksta obrazlagati će se izmjene i dopune Proračuna Županije Posavske za </w:t>
      </w:r>
      <w:r w:rsidR="00BE446F">
        <w:rPr>
          <w:lang w:val="hr-HR"/>
        </w:rPr>
        <w:t>2024</w:t>
      </w:r>
      <w:r w:rsidRPr="00182EF9">
        <w:rPr>
          <w:lang w:val="hr-HR"/>
        </w:rPr>
        <w:t xml:space="preserve">. godinu u odnosu na Proračun Županije Posavske za </w:t>
      </w:r>
      <w:r w:rsidR="00BE446F">
        <w:rPr>
          <w:lang w:val="hr-HR"/>
        </w:rPr>
        <w:t>2024</w:t>
      </w:r>
      <w:r w:rsidRPr="00182EF9">
        <w:rPr>
          <w:lang w:val="hr-HR"/>
        </w:rPr>
        <w:t xml:space="preserve">. </w:t>
      </w:r>
      <w:r w:rsidR="00936451" w:rsidRPr="00182EF9">
        <w:rPr>
          <w:lang w:val="hr-HR"/>
        </w:rPr>
        <w:t xml:space="preserve">godinu </w:t>
      </w:r>
      <w:r w:rsidRPr="00182EF9">
        <w:rPr>
          <w:lang w:val="hr-HR"/>
        </w:rPr>
        <w:t xml:space="preserve">(„Narodne novine Županije Posavske“, broj: </w:t>
      </w:r>
      <w:r w:rsidR="00C42A3B" w:rsidRPr="00182EF9">
        <w:rPr>
          <w:lang w:val="hr-HR"/>
        </w:rPr>
        <w:t>20/</w:t>
      </w:r>
      <w:r w:rsidR="00BE446F">
        <w:rPr>
          <w:lang w:val="hr-HR"/>
        </w:rPr>
        <w:t>23</w:t>
      </w:r>
      <w:r w:rsidRPr="00182EF9">
        <w:rPr>
          <w:lang w:val="hr-HR"/>
        </w:rPr>
        <w:t xml:space="preserve">) </w:t>
      </w:r>
      <w:r w:rsidRPr="00182EF9">
        <w:rPr>
          <w:b/>
          <w:lang w:val="hr-HR"/>
        </w:rPr>
        <w:t>s uključenim zakonskim povećanjima/smanjenjima.</w:t>
      </w:r>
    </w:p>
    <w:p w14:paraId="2A248F2E" w14:textId="1ACD1B7C" w:rsidR="00A14827" w:rsidRPr="007A1FE9" w:rsidRDefault="00E015B0" w:rsidP="00AD4262">
      <w:pPr>
        <w:pStyle w:val="StandardWeb"/>
        <w:spacing w:before="0" w:beforeAutospacing="0" w:after="0" w:afterAutospacing="0"/>
        <w:ind w:firstLine="720"/>
        <w:jc w:val="both"/>
      </w:pPr>
      <w:r w:rsidRPr="00182EF9">
        <w:t xml:space="preserve">Izmjenama i dopunama </w:t>
      </w:r>
      <w:r w:rsidR="00A14827" w:rsidRPr="00182EF9">
        <w:t xml:space="preserve">Proračuna </w:t>
      </w:r>
      <w:r w:rsidR="001F5E62" w:rsidRPr="00182EF9">
        <w:t xml:space="preserve">za </w:t>
      </w:r>
      <w:r w:rsidR="00BE446F">
        <w:t>2024</w:t>
      </w:r>
      <w:r w:rsidR="001F5E62" w:rsidRPr="00182EF9">
        <w:t xml:space="preserve">. godinu </w:t>
      </w:r>
      <w:r w:rsidR="00A14827" w:rsidRPr="00182EF9">
        <w:t>stvoreni su uvjeti za daljnje neometano funkcioniranje proračunskih korisnika</w:t>
      </w:r>
      <w:r w:rsidR="000636F8" w:rsidRPr="00182EF9">
        <w:t>.</w:t>
      </w:r>
      <w:r w:rsidR="00A14827" w:rsidRPr="00182EF9">
        <w:t xml:space="preserve"> </w:t>
      </w:r>
      <w:r w:rsidR="000636F8" w:rsidRPr="00592216">
        <w:t>P</w:t>
      </w:r>
      <w:r w:rsidR="00A14827" w:rsidRPr="00592216">
        <w:t>laće i naknade zaposlenih</w:t>
      </w:r>
      <w:r w:rsidR="00004FF2" w:rsidRPr="00592216">
        <w:t>,</w:t>
      </w:r>
      <w:r w:rsidR="00A14827" w:rsidRPr="00592216">
        <w:t xml:space="preserve"> te doprinosi poslodavca </w:t>
      </w:r>
      <w:r w:rsidR="000636F8" w:rsidRPr="00592216">
        <w:t xml:space="preserve">su </w:t>
      </w:r>
      <w:r w:rsidR="00625DFE" w:rsidRPr="00592216">
        <w:t xml:space="preserve">usklađeni sa stvarnim brojem zaposlenih u proračunskim institucijama, pri čemu </w:t>
      </w:r>
      <w:r w:rsidR="00FC395E" w:rsidRPr="00592216">
        <w:t>je</w:t>
      </w:r>
      <w:r w:rsidR="00625DFE" w:rsidRPr="00592216">
        <w:t xml:space="preserve"> kao baza za izračun korišten</w:t>
      </w:r>
      <w:r w:rsidR="00FC395E" w:rsidRPr="00592216">
        <w:t xml:space="preserve"> </w:t>
      </w:r>
      <w:r w:rsidR="00592216" w:rsidRPr="00592216">
        <w:t>listopad</w:t>
      </w:r>
      <w:r w:rsidR="00625DFE" w:rsidRPr="00592216">
        <w:t xml:space="preserve"> tekuće godine</w:t>
      </w:r>
      <w:r w:rsidR="00C42A3B" w:rsidRPr="00592216">
        <w:t xml:space="preserve">. </w:t>
      </w:r>
      <w:r w:rsidR="00F85DD6" w:rsidRPr="00A0408C">
        <w:t xml:space="preserve">Ukupno planirane plaće, naknade troškova i doprinosi poslodavca </w:t>
      </w:r>
      <w:r w:rsidR="009E4BDA" w:rsidRPr="00A0408C">
        <w:t xml:space="preserve">veći su za </w:t>
      </w:r>
      <w:r w:rsidR="00A0408C" w:rsidRPr="00A0408C">
        <w:t>4,59</w:t>
      </w:r>
      <w:r w:rsidR="009E4BDA" w:rsidRPr="00A0408C">
        <w:t>% od prethodno planiranog.</w:t>
      </w:r>
      <w:r w:rsidR="009B7201" w:rsidRPr="00A0408C">
        <w:t xml:space="preserve"> </w:t>
      </w:r>
      <w:r w:rsidR="001F5E62" w:rsidRPr="00A0408C">
        <w:t>Prvobitno</w:t>
      </w:r>
      <w:r w:rsidR="00AD4262" w:rsidRPr="00A0408C">
        <w:t xml:space="preserve"> p</w:t>
      </w:r>
      <w:r w:rsidR="00625DFE" w:rsidRPr="00A0408C">
        <w:t xml:space="preserve">lanirana izdvajanja za materijal, sitan inventar i usluge </w:t>
      </w:r>
      <w:r w:rsidR="00715438" w:rsidRPr="00A0408C">
        <w:t>povećana</w:t>
      </w:r>
      <w:r w:rsidR="00F85DD6" w:rsidRPr="00A0408C">
        <w:t xml:space="preserve"> su</w:t>
      </w:r>
      <w:r w:rsidR="00FC395E" w:rsidRPr="00A0408C">
        <w:t xml:space="preserve"> za </w:t>
      </w:r>
      <w:r w:rsidR="00505FB1">
        <w:t>1,01</w:t>
      </w:r>
      <w:r w:rsidR="00FC395E" w:rsidRPr="00A0408C">
        <w:t>%</w:t>
      </w:r>
      <w:r w:rsidR="00625DFE" w:rsidRPr="00A0408C">
        <w:t>.</w:t>
      </w:r>
      <w:r w:rsidR="00C85372" w:rsidRPr="00A0408C">
        <w:t xml:space="preserve"> </w:t>
      </w:r>
      <w:r w:rsidR="00570D17" w:rsidRPr="00185B27">
        <w:t>Ukupna i</w:t>
      </w:r>
      <w:r w:rsidR="00A14827" w:rsidRPr="00185B27">
        <w:t xml:space="preserve">zdvajanja za tekuće grantove su </w:t>
      </w:r>
      <w:r w:rsidR="00AD4262" w:rsidRPr="00185B27">
        <w:t>povećana</w:t>
      </w:r>
      <w:r w:rsidR="00FC395E" w:rsidRPr="00185B27">
        <w:t xml:space="preserve"> </w:t>
      </w:r>
      <w:r w:rsidR="003B4751" w:rsidRPr="00185B27">
        <w:t xml:space="preserve">za </w:t>
      </w:r>
      <w:r w:rsidR="00185B27" w:rsidRPr="00185B27">
        <w:t>4,</w:t>
      </w:r>
      <w:r w:rsidR="00F8051A">
        <w:t>64</w:t>
      </w:r>
      <w:r w:rsidR="0066094A" w:rsidRPr="00185B27">
        <w:t>%</w:t>
      </w:r>
      <w:r w:rsidR="00617956" w:rsidRPr="00185B27">
        <w:t>, dok su</w:t>
      </w:r>
      <w:r w:rsidR="00FC395E" w:rsidRPr="00185B27">
        <w:t xml:space="preserve"> </w:t>
      </w:r>
      <w:r w:rsidR="00617956" w:rsidRPr="00185B27">
        <w:t>i</w:t>
      </w:r>
      <w:r w:rsidR="00392F29" w:rsidRPr="00185B27">
        <w:t xml:space="preserve">zdaci za kapitalne grantove </w:t>
      </w:r>
      <w:r w:rsidR="00715438" w:rsidRPr="00185B27">
        <w:t>povećani</w:t>
      </w:r>
      <w:r w:rsidR="009B7201" w:rsidRPr="00185B27">
        <w:t xml:space="preserve"> za </w:t>
      </w:r>
      <w:r w:rsidR="00185B27" w:rsidRPr="00185B27">
        <w:t>2,94</w:t>
      </w:r>
      <w:r w:rsidR="009B7201" w:rsidRPr="00185B27">
        <w:t>%</w:t>
      </w:r>
      <w:r w:rsidR="004E26EF" w:rsidRPr="00185B27">
        <w:t>.</w:t>
      </w:r>
      <w:r w:rsidR="00392F29" w:rsidRPr="00185B27">
        <w:t xml:space="preserve"> </w:t>
      </w:r>
      <w:r w:rsidR="00A53D11" w:rsidRPr="004F7832">
        <w:t xml:space="preserve">Ukupno povećanje planiranih </w:t>
      </w:r>
      <w:r w:rsidR="00A53D11" w:rsidRPr="007A1FE9">
        <w:t xml:space="preserve">izdataka za nabavku stalnih sredstava iznosi </w:t>
      </w:r>
      <w:r w:rsidR="003C2B98" w:rsidRPr="007A1FE9">
        <w:t>35,7</w:t>
      </w:r>
      <w:r w:rsidR="00F8051A">
        <w:t>6</w:t>
      </w:r>
      <w:r w:rsidR="00A53D11" w:rsidRPr="007A1FE9">
        <w:t>%.</w:t>
      </w:r>
      <w:r w:rsidR="00AD4262" w:rsidRPr="007A1FE9">
        <w:t xml:space="preserve"> </w:t>
      </w:r>
      <w:r w:rsidR="00BF328E" w:rsidRPr="007A1FE9">
        <w:t>Izdaci za kamate i otplate dugova planirani su u skladu s postojećim otplatnim planovima</w:t>
      </w:r>
      <w:r w:rsidR="00570D17" w:rsidRPr="007A1FE9">
        <w:t xml:space="preserve">, </w:t>
      </w:r>
      <w:r w:rsidR="00A53D11" w:rsidRPr="007A1FE9">
        <w:t xml:space="preserve">i </w:t>
      </w:r>
      <w:r w:rsidR="00F85DD6" w:rsidRPr="007A1FE9">
        <w:t>manji su od prethodno planiranog</w:t>
      </w:r>
      <w:r w:rsidR="00A53D11" w:rsidRPr="007A1FE9">
        <w:t xml:space="preserve"> </w:t>
      </w:r>
      <w:r w:rsidR="00F85DD6" w:rsidRPr="007A1FE9">
        <w:t xml:space="preserve">za </w:t>
      </w:r>
      <w:r w:rsidR="004F7832" w:rsidRPr="007A1FE9">
        <w:t>2,07</w:t>
      </w:r>
      <w:r w:rsidR="00F85DD6" w:rsidRPr="007A1FE9">
        <w:t>%</w:t>
      </w:r>
      <w:r w:rsidR="00570D17" w:rsidRPr="007A1FE9">
        <w:t>.</w:t>
      </w:r>
      <w:r w:rsidR="009E4BDA" w:rsidRPr="007A1FE9">
        <w:t xml:space="preserve"> </w:t>
      </w:r>
    </w:p>
    <w:p w14:paraId="2A248F2F" w14:textId="34B96985" w:rsidR="003B4751" w:rsidRPr="00182EF9" w:rsidRDefault="009E4BDA" w:rsidP="009E4BDA">
      <w:pPr>
        <w:ind w:firstLine="720"/>
        <w:jc w:val="both"/>
        <w:rPr>
          <w:bCs/>
          <w:lang w:val="hr-HR"/>
        </w:rPr>
      </w:pPr>
      <w:r w:rsidRPr="007A1FE9">
        <w:rPr>
          <w:bCs/>
          <w:lang w:val="hr-HR"/>
        </w:rPr>
        <w:t xml:space="preserve">Predmetnim Izmjenama i dopunama Proračuna Županije Posavske za </w:t>
      </w:r>
      <w:r w:rsidR="004F7832" w:rsidRPr="007A1FE9">
        <w:rPr>
          <w:bCs/>
          <w:lang w:val="hr-HR"/>
        </w:rPr>
        <w:t>2024</w:t>
      </w:r>
      <w:r w:rsidRPr="007A1FE9">
        <w:rPr>
          <w:bCs/>
          <w:lang w:val="hr-HR"/>
        </w:rPr>
        <w:t>. godine ukupno planirani prihodi, primici i financiranje</w:t>
      </w:r>
      <w:r w:rsidR="00715438" w:rsidRPr="007A1FE9">
        <w:rPr>
          <w:bCs/>
          <w:lang w:val="hr-HR"/>
        </w:rPr>
        <w:t xml:space="preserve"> iznose </w:t>
      </w:r>
      <w:r w:rsidR="00AD0DEE">
        <w:rPr>
          <w:bCs/>
          <w:lang w:val="hr-HR"/>
        </w:rPr>
        <w:t>71</w:t>
      </w:r>
      <w:r w:rsidR="00E15DAA">
        <w:rPr>
          <w:bCs/>
          <w:lang w:val="hr-HR"/>
        </w:rPr>
        <w:t>.622.480</w:t>
      </w:r>
      <w:r w:rsidR="00715438" w:rsidRPr="007A1FE9">
        <w:rPr>
          <w:bCs/>
          <w:lang w:val="hr-HR"/>
        </w:rPr>
        <w:t xml:space="preserve"> KM, </w:t>
      </w:r>
      <w:r w:rsidRPr="007A1FE9">
        <w:rPr>
          <w:bCs/>
          <w:lang w:val="hr-HR"/>
        </w:rPr>
        <w:t xml:space="preserve">i veći su od prethodno planiranih za </w:t>
      </w:r>
      <w:r w:rsidR="004842F3" w:rsidRPr="007A1FE9">
        <w:rPr>
          <w:bCs/>
          <w:lang w:val="hr-HR"/>
        </w:rPr>
        <w:t>6,02</w:t>
      </w:r>
      <w:r w:rsidRPr="007A1FE9">
        <w:rPr>
          <w:bCs/>
          <w:lang w:val="hr-HR"/>
        </w:rPr>
        <w:t xml:space="preserve">%. </w:t>
      </w:r>
      <w:r w:rsidR="00715438" w:rsidRPr="007A1FE9">
        <w:rPr>
          <w:bCs/>
          <w:lang w:val="hr-HR"/>
        </w:rPr>
        <w:t xml:space="preserve">Ukupni rashodi i izdaci Izmjena i dopuna Proračuna iznose </w:t>
      </w:r>
      <w:r w:rsidR="00CB60C8">
        <w:rPr>
          <w:bCs/>
          <w:lang w:val="hr-HR"/>
        </w:rPr>
        <w:t>72.119.800</w:t>
      </w:r>
      <w:r w:rsidR="00715438" w:rsidRPr="007A1FE9">
        <w:rPr>
          <w:bCs/>
          <w:lang w:val="hr-HR"/>
        </w:rPr>
        <w:t xml:space="preserve"> KM i veći su od prvobitno planiranih </w:t>
      </w:r>
      <w:r w:rsidR="004842F3" w:rsidRPr="007A1FE9">
        <w:rPr>
          <w:bCs/>
          <w:lang w:val="hr-HR"/>
        </w:rPr>
        <w:t>6,76</w:t>
      </w:r>
      <w:r w:rsidR="00715438" w:rsidRPr="007A1FE9">
        <w:rPr>
          <w:bCs/>
          <w:lang w:val="hr-HR"/>
        </w:rPr>
        <w:t xml:space="preserve">%. </w:t>
      </w:r>
      <w:r w:rsidR="00EE19EF" w:rsidRPr="007A1FE9">
        <w:rPr>
          <w:bCs/>
          <w:lang w:val="hr-HR"/>
        </w:rPr>
        <w:t>Planirani ukupni financijski rezultat je negativan i iznosi -</w:t>
      </w:r>
      <w:r w:rsidR="00CB60C8">
        <w:rPr>
          <w:bCs/>
          <w:lang w:val="hr-HR"/>
        </w:rPr>
        <w:t>497</w:t>
      </w:r>
      <w:r w:rsidR="00EE19EF" w:rsidRPr="007A1FE9">
        <w:rPr>
          <w:bCs/>
          <w:lang w:val="hr-HR"/>
        </w:rPr>
        <w:t>.</w:t>
      </w:r>
      <w:r w:rsidR="00CB60C8">
        <w:rPr>
          <w:bCs/>
          <w:lang w:val="hr-HR"/>
        </w:rPr>
        <w:t>32</w:t>
      </w:r>
      <w:r w:rsidR="00EE19EF" w:rsidRPr="007A1FE9">
        <w:rPr>
          <w:bCs/>
          <w:lang w:val="hr-HR"/>
        </w:rPr>
        <w:t>0 KM</w:t>
      </w:r>
      <w:r w:rsidR="007A1FE9" w:rsidRPr="007A1FE9">
        <w:rPr>
          <w:bCs/>
          <w:lang w:val="hr-HR"/>
        </w:rPr>
        <w:t>, a pokrit će se iz dijela a</w:t>
      </w:r>
      <w:r w:rsidR="00715438" w:rsidRPr="007A1FE9">
        <w:rPr>
          <w:bCs/>
          <w:lang w:val="hr-HR"/>
        </w:rPr>
        <w:t>kumuliran</w:t>
      </w:r>
      <w:r w:rsidR="007A1FE9" w:rsidRPr="007A1FE9">
        <w:rPr>
          <w:bCs/>
          <w:lang w:val="hr-HR"/>
        </w:rPr>
        <w:t>og</w:t>
      </w:r>
      <w:r w:rsidR="00715438" w:rsidRPr="007A1FE9">
        <w:rPr>
          <w:bCs/>
          <w:lang w:val="hr-HR"/>
        </w:rPr>
        <w:t xml:space="preserve"> suficit</w:t>
      </w:r>
      <w:r w:rsidR="007A1FE9" w:rsidRPr="007A1FE9">
        <w:rPr>
          <w:bCs/>
          <w:lang w:val="hr-HR"/>
        </w:rPr>
        <w:t>a</w:t>
      </w:r>
      <w:r w:rsidR="00715438" w:rsidRPr="007A1FE9">
        <w:rPr>
          <w:bCs/>
          <w:lang w:val="hr-HR"/>
        </w:rPr>
        <w:t xml:space="preserve"> iz prethodnih razdoblja</w:t>
      </w:r>
      <w:r w:rsidR="007A1FE9" w:rsidRPr="007A1FE9">
        <w:rPr>
          <w:bCs/>
          <w:lang w:val="hr-HR"/>
        </w:rPr>
        <w:t>. Isti je na dan</w:t>
      </w:r>
      <w:r w:rsidR="00715438" w:rsidRPr="007A1FE9">
        <w:rPr>
          <w:bCs/>
          <w:lang w:val="hr-HR"/>
        </w:rPr>
        <w:t xml:space="preserve"> 31.12.</w:t>
      </w:r>
      <w:r w:rsidR="003366E8" w:rsidRPr="007A1FE9">
        <w:rPr>
          <w:bCs/>
          <w:lang w:val="hr-HR"/>
        </w:rPr>
        <w:t>2023</w:t>
      </w:r>
      <w:r w:rsidR="00715438" w:rsidRPr="007A1FE9">
        <w:rPr>
          <w:bCs/>
          <w:lang w:val="hr-HR"/>
        </w:rPr>
        <w:t>.</w:t>
      </w:r>
      <w:r w:rsidR="00715438" w:rsidRPr="00FC64F2">
        <w:rPr>
          <w:bCs/>
          <w:lang w:val="hr-HR"/>
        </w:rPr>
        <w:t xml:space="preserve"> godine, prema službenim godišnjim izvješćima, iznosio </w:t>
      </w:r>
      <w:r w:rsidR="000E521E" w:rsidRPr="00FC64F2">
        <w:rPr>
          <w:bCs/>
          <w:lang w:val="hr-HR"/>
        </w:rPr>
        <w:t>1.607.673</w:t>
      </w:r>
      <w:r w:rsidR="00715438" w:rsidRPr="00FC64F2">
        <w:rPr>
          <w:bCs/>
          <w:lang w:val="hr-HR"/>
        </w:rPr>
        <w:t xml:space="preserve"> KM.</w:t>
      </w:r>
    </w:p>
    <w:p w14:paraId="5DFA57E5" w14:textId="77777777" w:rsidR="00715438" w:rsidRPr="00182EF9" w:rsidRDefault="00715438" w:rsidP="009E4BDA">
      <w:pPr>
        <w:ind w:firstLine="720"/>
        <w:jc w:val="both"/>
        <w:rPr>
          <w:bCs/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6"/>
        <w:gridCol w:w="8567"/>
      </w:tblGrid>
      <w:tr w:rsidR="00593A7C" w:rsidRPr="00182EF9" w14:paraId="2A248F34" w14:textId="77777777" w:rsidTr="002A6B6D">
        <w:tc>
          <w:tcPr>
            <w:tcW w:w="816" w:type="dxa"/>
            <w:shd w:val="clear" w:color="auto" w:fill="404040"/>
          </w:tcPr>
          <w:p w14:paraId="2A248F32" w14:textId="77777777" w:rsidR="00593A7C" w:rsidRPr="00182EF9" w:rsidRDefault="00445243">
            <w:pPr>
              <w:pStyle w:val="Naslov"/>
              <w:rPr>
                <w:color w:val="FFFFFF"/>
              </w:rPr>
            </w:pPr>
            <w:r w:rsidRPr="00182EF9">
              <w:rPr>
                <w:color w:val="FFFFFF"/>
              </w:rPr>
              <w:t>2.</w:t>
            </w:r>
          </w:p>
        </w:tc>
        <w:tc>
          <w:tcPr>
            <w:tcW w:w="8567" w:type="dxa"/>
          </w:tcPr>
          <w:p w14:paraId="2A248F33" w14:textId="77777777" w:rsidR="00593A7C" w:rsidRPr="00182EF9" w:rsidRDefault="00445243" w:rsidP="003528F2">
            <w:pPr>
              <w:pStyle w:val="Naslov"/>
              <w:jc w:val="left"/>
            </w:pPr>
            <w:r w:rsidRPr="00182EF9">
              <w:t xml:space="preserve">PRAVNI </w:t>
            </w:r>
            <w:r w:rsidR="003528F2" w:rsidRPr="00182EF9">
              <w:t>TEMELJ</w:t>
            </w:r>
          </w:p>
        </w:tc>
      </w:tr>
    </w:tbl>
    <w:p w14:paraId="2A248F35" w14:textId="77777777" w:rsidR="00593A7C" w:rsidRPr="00182EF9" w:rsidRDefault="00593A7C">
      <w:pPr>
        <w:jc w:val="both"/>
        <w:rPr>
          <w:b/>
          <w:bCs/>
          <w:lang w:val="hr-HR"/>
        </w:rPr>
      </w:pPr>
    </w:p>
    <w:p w14:paraId="2A248F36" w14:textId="08521777" w:rsidR="00593A7C" w:rsidRPr="00182EF9" w:rsidRDefault="00445243" w:rsidP="00B50994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Ustavni temelj za donošenje Proračuna Županije Posavske za </w:t>
      </w:r>
      <w:r w:rsidR="00D7317B">
        <w:rPr>
          <w:lang w:val="hr-HR"/>
        </w:rPr>
        <w:t>2024</w:t>
      </w:r>
      <w:r w:rsidRPr="00182EF9">
        <w:rPr>
          <w:lang w:val="hr-HR"/>
        </w:rPr>
        <w:t xml:space="preserve">. godinu sadržan je u članku 26.(1) točka </w:t>
      </w:r>
      <w:r w:rsidR="00D269FF">
        <w:rPr>
          <w:lang w:val="hr-HR"/>
        </w:rPr>
        <w:t>c</w:t>
      </w:r>
      <w:r w:rsidRPr="00182EF9">
        <w:rPr>
          <w:lang w:val="hr-HR"/>
        </w:rPr>
        <w:t>. Ustava Županije Posavske</w:t>
      </w:r>
      <w:r w:rsidR="00F800F8">
        <w:rPr>
          <w:lang w:val="hr-HR"/>
        </w:rPr>
        <w:t xml:space="preserve"> – pročišćeni tekst</w:t>
      </w:r>
      <w:r w:rsidRPr="00182EF9">
        <w:rPr>
          <w:lang w:val="hr-HR"/>
        </w:rPr>
        <w:t xml:space="preserve"> (»Narodne novine Županije Posavske«, bro</w:t>
      </w:r>
      <w:r w:rsidR="00B50994" w:rsidRPr="00182EF9">
        <w:rPr>
          <w:lang w:val="hr-HR"/>
        </w:rPr>
        <w:t xml:space="preserve">j: </w:t>
      </w:r>
      <w:r w:rsidR="00D269FF">
        <w:rPr>
          <w:lang w:val="hr-HR"/>
        </w:rPr>
        <w:t>15/23</w:t>
      </w:r>
      <w:r w:rsidRPr="00182EF9">
        <w:rPr>
          <w:lang w:val="hr-HR"/>
        </w:rPr>
        <w:t>) gdje je propisano da Skupština Žup</w:t>
      </w:r>
      <w:r w:rsidR="00CB502E" w:rsidRPr="00182EF9">
        <w:rPr>
          <w:lang w:val="hr-HR"/>
        </w:rPr>
        <w:t>anije Posavske usvaja Proračun.</w:t>
      </w:r>
    </w:p>
    <w:p w14:paraId="2A248F37" w14:textId="6D2B0391" w:rsidR="00593A7C" w:rsidRPr="00182EF9" w:rsidRDefault="00445243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Zakonski temelj za donošenje Izmjena i dopuna Proračuna za </w:t>
      </w:r>
      <w:r w:rsidR="006652BB">
        <w:rPr>
          <w:lang w:val="hr-HR"/>
        </w:rPr>
        <w:t>2024</w:t>
      </w:r>
      <w:r w:rsidRPr="00182EF9">
        <w:rPr>
          <w:lang w:val="hr-HR"/>
        </w:rPr>
        <w:t xml:space="preserve">. godinu sadržan je u članku 37.(3) Zakona o proračunima u Federaciji </w:t>
      </w:r>
      <w:r w:rsidR="000564CA">
        <w:rPr>
          <w:lang w:val="hr-HR"/>
        </w:rPr>
        <w:t>BiH</w:t>
      </w:r>
      <w:r w:rsidRPr="00182EF9">
        <w:rPr>
          <w:lang w:val="hr-HR"/>
        </w:rPr>
        <w:t xml:space="preserve"> (»Službene novine Federacije BiH«, broj: 102/13, 9/14</w:t>
      </w:r>
      <w:r w:rsidR="00625DFE" w:rsidRPr="00182EF9">
        <w:rPr>
          <w:lang w:val="hr-HR"/>
        </w:rPr>
        <w:t>,</w:t>
      </w:r>
      <w:r w:rsidRPr="00182EF9">
        <w:rPr>
          <w:lang w:val="hr-HR"/>
        </w:rPr>
        <w:t xml:space="preserve"> 13/14</w:t>
      </w:r>
      <w:r w:rsidR="00625DFE" w:rsidRPr="00182EF9">
        <w:rPr>
          <w:lang w:val="hr-HR"/>
        </w:rPr>
        <w:t>, 8/15, 91/15</w:t>
      </w:r>
      <w:r w:rsidR="00186969" w:rsidRPr="00182EF9">
        <w:rPr>
          <w:lang w:val="hr-HR"/>
        </w:rPr>
        <w:t>,</w:t>
      </w:r>
      <w:r w:rsidR="00625DFE" w:rsidRPr="00182EF9">
        <w:rPr>
          <w:lang w:val="hr-HR"/>
        </w:rPr>
        <w:t xml:space="preserve"> 102/15</w:t>
      </w:r>
      <w:r w:rsidR="00BF328E" w:rsidRPr="00182EF9">
        <w:rPr>
          <w:lang w:val="hr-HR"/>
        </w:rPr>
        <w:t>,</w:t>
      </w:r>
      <w:r w:rsidR="00186969" w:rsidRPr="00182EF9">
        <w:rPr>
          <w:lang w:val="hr-HR"/>
        </w:rPr>
        <w:t xml:space="preserve"> 104/16</w:t>
      </w:r>
      <w:r w:rsidR="00AE7162" w:rsidRPr="00182EF9">
        <w:rPr>
          <w:lang w:val="hr-HR"/>
        </w:rPr>
        <w:t>,</w:t>
      </w:r>
      <w:r w:rsidR="00BF328E" w:rsidRPr="00182EF9">
        <w:rPr>
          <w:lang w:val="hr-HR"/>
        </w:rPr>
        <w:t xml:space="preserve"> 5/18</w:t>
      </w:r>
      <w:r w:rsidR="009B7201" w:rsidRPr="00182EF9">
        <w:rPr>
          <w:lang w:val="hr-HR"/>
        </w:rPr>
        <w:t xml:space="preserve">, </w:t>
      </w:r>
      <w:r w:rsidR="00AE7162" w:rsidRPr="00182EF9">
        <w:rPr>
          <w:lang w:val="hr-HR"/>
        </w:rPr>
        <w:t>11/19</w:t>
      </w:r>
      <w:r w:rsidR="00B50994" w:rsidRPr="00182EF9">
        <w:rPr>
          <w:lang w:val="hr-HR"/>
        </w:rPr>
        <w:t>,</w:t>
      </w:r>
      <w:r w:rsidR="009B7201" w:rsidRPr="00182EF9">
        <w:rPr>
          <w:lang w:val="hr-HR"/>
        </w:rPr>
        <w:t xml:space="preserve"> 99/19</w:t>
      </w:r>
      <w:r w:rsidR="00B50994" w:rsidRPr="00182EF9">
        <w:rPr>
          <w:lang w:val="hr-HR"/>
        </w:rPr>
        <w:t xml:space="preserve"> i 25a/22</w:t>
      </w:r>
      <w:r w:rsidRPr="00182EF9">
        <w:rPr>
          <w:lang w:val="hr-HR"/>
        </w:rPr>
        <w:t>).</w:t>
      </w:r>
    </w:p>
    <w:p w14:paraId="2A248F38" w14:textId="05FD8C9F" w:rsidR="00593A7C" w:rsidRPr="00182EF9" w:rsidRDefault="00445243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Prilikom izrade Izmjena i dopuna Proračuna Županije Posavske za </w:t>
      </w:r>
      <w:r w:rsidR="00FC4E3C">
        <w:rPr>
          <w:lang w:val="hr-HR"/>
        </w:rPr>
        <w:t>2024</w:t>
      </w:r>
      <w:r w:rsidRPr="00182EF9">
        <w:rPr>
          <w:lang w:val="hr-HR"/>
        </w:rPr>
        <w:t>. godinu osobito su uzete u obzir odredbe:</w:t>
      </w:r>
    </w:p>
    <w:p w14:paraId="1854452E" w14:textId="77777777" w:rsidR="00831DD4" w:rsidRPr="00AB099A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AB099A">
        <w:rPr>
          <w:lang w:val="hr-HR"/>
        </w:rPr>
        <w:t>Zakona o državnim službenicima i namještenicima u tijelima državne službe u Županiji Posavskoj («Narodne novine Županije Posavske», broj: 9/13, 11/13, 2/14 i 6/17),</w:t>
      </w:r>
    </w:p>
    <w:p w14:paraId="73EEAD88" w14:textId="77777777" w:rsidR="00831DD4" w:rsidRPr="00024577" w:rsidRDefault="00831DD4" w:rsidP="00A40AAA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24577">
        <w:rPr>
          <w:color w:val="auto"/>
        </w:rPr>
        <w:t>Zakona o plaćama i naknadama u tijelima vlasti Županije Posavske („Narodne novine Županije Posavske“, broj: 9/23),</w:t>
      </w:r>
    </w:p>
    <w:p w14:paraId="2684209C" w14:textId="77777777" w:rsidR="00831DD4" w:rsidRPr="00A405A8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024577">
        <w:rPr>
          <w:lang w:val="hr-HR"/>
        </w:rPr>
        <w:t xml:space="preserve">Zakona o plaćama i drugim naknadama sudaca i tužitelja u Federaciji Bosne i Hercegovine </w:t>
      </w:r>
      <w:r w:rsidRPr="00A405A8">
        <w:rPr>
          <w:lang w:val="hr-HR"/>
        </w:rPr>
        <w:t>(«Službene novine Federacije BiH», broj: 72/05, 22/09, 55/13 i 61/22),</w:t>
      </w:r>
    </w:p>
    <w:p w14:paraId="35E3D139" w14:textId="77777777" w:rsidR="00831DD4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A405A8">
        <w:rPr>
          <w:lang w:val="hr-HR"/>
        </w:rPr>
        <w:t>Uredbe o plaćama, dodacima i naknadama policijskih službenika Županije Posavske («Narodne novine Županije Posavske», broj: 11/14, 7/15, 16/19, 4/22 i 8/23),</w:t>
      </w:r>
    </w:p>
    <w:p w14:paraId="0315543C" w14:textId="57FD7DE1" w:rsidR="001D04CF" w:rsidRPr="00A405A8" w:rsidRDefault="001D04CF" w:rsidP="00A40AAA">
      <w:pPr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Uredba</w:t>
      </w:r>
      <w:r w:rsidR="00094861">
        <w:rPr>
          <w:lang w:val="hr-HR"/>
        </w:rPr>
        <w:t xml:space="preserve"> o naknadi troškova za prijevoz na posao i sa posla („Narodne novine Županije Posavske“, broj: 13/23),</w:t>
      </w:r>
    </w:p>
    <w:p w14:paraId="7FDE354B" w14:textId="706AEFC5" w:rsidR="00831DD4" w:rsidRPr="00824949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824949">
        <w:rPr>
          <w:lang w:val="hr-HR"/>
        </w:rPr>
        <w:t xml:space="preserve">Kolektivnog ugovora za djelatnost osnovnog obrazovanja u Županiji Posavskoj («Narodne novine Županije Posavske», broj: </w:t>
      </w:r>
      <w:r w:rsidR="00824949" w:rsidRPr="00824949">
        <w:rPr>
          <w:lang w:val="hr-HR"/>
        </w:rPr>
        <w:t>9/24</w:t>
      </w:r>
      <w:r w:rsidRPr="00824949">
        <w:rPr>
          <w:lang w:val="hr-HR"/>
        </w:rPr>
        <w:t>),</w:t>
      </w:r>
    </w:p>
    <w:p w14:paraId="0AAF8A4A" w14:textId="6114AA6F" w:rsidR="00831DD4" w:rsidRPr="007E7E46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7E7E46">
        <w:rPr>
          <w:lang w:val="hr-HR"/>
        </w:rPr>
        <w:t xml:space="preserve">Kolektivnog ugovora za djelatnost srednjeg obrazovanja u Županiji Posavskoj («Narodne novine Županije Posavske», broj: </w:t>
      </w:r>
      <w:r w:rsidR="007E7E46" w:rsidRPr="007E7E46">
        <w:rPr>
          <w:lang w:val="hr-HR"/>
        </w:rPr>
        <w:t>9/24</w:t>
      </w:r>
      <w:r w:rsidRPr="007E7E46">
        <w:rPr>
          <w:lang w:val="hr-HR"/>
        </w:rPr>
        <w:t xml:space="preserve">), </w:t>
      </w:r>
    </w:p>
    <w:p w14:paraId="0B58FF18" w14:textId="7DBA6960" w:rsidR="00831DD4" w:rsidRPr="00C07734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C07734">
        <w:rPr>
          <w:lang w:val="hr-HR"/>
        </w:rPr>
        <w:t>Kolektivnog ugovora za službenike organa uprave i sudske vlasti u Federaciji Bosne i Hercegovine („Službene novine Federacije BiH“, broj:</w:t>
      </w:r>
      <w:r w:rsidR="00C07734" w:rsidRPr="00C07734">
        <w:rPr>
          <w:lang w:val="hr-HR"/>
        </w:rPr>
        <w:t xml:space="preserve"> </w:t>
      </w:r>
      <w:r w:rsidR="00C07734">
        <w:rPr>
          <w:lang w:val="hr-HR"/>
        </w:rPr>
        <w:t>98</w:t>
      </w:r>
      <w:r w:rsidR="00C07734" w:rsidRPr="00C07734">
        <w:rPr>
          <w:lang w:val="hr-HR"/>
        </w:rPr>
        <w:t>/23</w:t>
      </w:r>
      <w:r w:rsidRPr="00C07734">
        <w:rPr>
          <w:lang w:val="hr-HR"/>
        </w:rPr>
        <w:t>),</w:t>
      </w:r>
    </w:p>
    <w:p w14:paraId="703EF6C2" w14:textId="2AE0FC3A" w:rsidR="00831DD4" w:rsidRPr="006E70D3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6E70D3">
        <w:rPr>
          <w:lang w:val="hr-HR"/>
        </w:rPr>
        <w:t>Kolektivnog ugovora za policijske službenike u Ministarstvu unutarnjih poslova Županije Posavske („Narodne novine Županije Posavske“, broj: 4/22</w:t>
      </w:r>
      <w:r w:rsidR="006E70D3" w:rsidRPr="006E70D3">
        <w:rPr>
          <w:lang w:val="hr-HR"/>
        </w:rPr>
        <w:t xml:space="preserve"> i 8/24</w:t>
      </w:r>
      <w:r w:rsidRPr="006E70D3">
        <w:rPr>
          <w:lang w:val="hr-HR"/>
        </w:rPr>
        <w:t>), i</w:t>
      </w:r>
    </w:p>
    <w:p w14:paraId="3A8D75C6" w14:textId="77777777" w:rsidR="00831DD4" w:rsidRPr="007D164D" w:rsidRDefault="00831DD4" w:rsidP="00A40AAA">
      <w:pPr>
        <w:numPr>
          <w:ilvl w:val="0"/>
          <w:numId w:val="2"/>
        </w:numPr>
        <w:jc w:val="both"/>
        <w:rPr>
          <w:lang w:val="hr-HR"/>
        </w:rPr>
      </w:pPr>
      <w:r w:rsidRPr="007D164D">
        <w:rPr>
          <w:lang w:val="hr-HR"/>
        </w:rPr>
        <w:t>Ostalih zakona i podzakonskih akata koje sprovode resorna ministarstva Vlade Županije Posavske.</w:t>
      </w:r>
    </w:p>
    <w:p w14:paraId="0F6A0013" w14:textId="77777777" w:rsidR="00831DD4" w:rsidRPr="000F7A2F" w:rsidRDefault="00831DD4" w:rsidP="00831DD4">
      <w:pPr>
        <w:ind w:left="720"/>
        <w:jc w:val="both"/>
        <w:rPr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6B3383" w:rsidRPr="00182EF9" w14:paraId="2A248F4A" w14:textId="77777777" w:rsidTr="000564CA">
        <w:tc>
          <w:tcPr>
            <w:tcW w:w="815" w:type="dxa"/>
            <w:shd w:val="clear" w:color="auto" w:fill="404040"/>
          </w:tcPr>
          <w:p w14:paraId="2A248F48" w14:textId="77777777" w:rsidR="006B3383" w:rsidRPr="00182EF9" w:rsidRDefault="006B3383" w:rsidP="007E0C25">
            <w:pPr>
              <w:pStyle w:val="Naslov"/>
              <w:rPr>
                <w:color w:val="FFFFFF"/>
              </w:rPr>
            </w:pPr>
            <w:r w:rsidRPr="00182EF9">
              <w:rPr>
                <w:color w:val="FFFFFF"/>
              </w:rPr>
              <w:t>3.</w:t>
            </w:r>
          </w:p>
        </w:tc>
        <w:tc>
          <w:tcPr>
            <w:tcW w:w="8568" w:type="dxa"/>
          </w:tcPr>
          <w:p w14:paraId="2A248F49" w14:textId="64129215" w:rsidR="006B3383" w:rsidRPr="00182EF9" w:rsidRDefault="006B3383" w:rsidP="00B50994">
            <w:pPr>
              <w:pStyle w:val="Naslov"/>
              <w:jc w:val="both"/>
            </w:pPr>
            <w:r w:rsidRPr="00182EF9">
              <w:t xml:space="preserve">IZMJENE I DOPUNE PRORAČUNA ŽUPANIJE POSAVSKE ZA </w:t>
            </w:r>
            <w:r w:rsidR="00831DD4">
              <w:t>2024</w:t>
            </w:r>
            <w:r w:rsidRPr="00182EF9">
              <w:t>. GODINU – OPĆI DIO</w:t>
            </w:r>
            <w:r w:rsidR="00617956" w:rsidRPr="00182EF9">
              <w:t xml:space="preserve"> (SAŽETAK)</w:t>
            </w:r>
          </w:p>
        </w:tc>
      </w:tr>
    </w:tbl>
    <w:p w14:paraId="2A248F4B" w14:textId="77777777" w:rsidR="006B3383" w:rsidRPr="00182EF9" w:rsidRDefault="006B3383" w:rsidP="00074737">
      <w:pPr>
        <w:jc w:val="both"/>
        <w:rPr>
          <w:b/>
          <w:bCs/>
          <w:lang w:val="hr-HR"/>
        </w:rPr>
      </w:pPr>
    </w:p>
    <w:p w14:paraId="2A248F4C" w14:textId="0BC423B5" w:rsidR="006B3383" w:rsidRPr="00182EF9" w:rsidRDefault="006B3383" w:rsidP="00074737">
      <w:pPr>
        <w:jc w:val="both"/>
        <w:rPr>
          <w:bCs/>
          <w:lang w:val="hr-HR"/>
        </w:rPr>
      </w:pPr>
      <w:r w:rsidRPr="00182EF9">
        <w:rPr>
          <w:bCs/>
          <w:lang w:val="hr-HR"/>
        </w:rPr>
        <w:tab/>
        <w:t xml:space="preserve">Izmjenama i dopunama Proračuna Županije Posavske za </w:t>
      </w:r>
      <w:r w:rsidR="00831DD4">
        <w:rPr>
          <w:bCs/>
          <w:lang w:val="hr-HR"/>
        </w:rPr>
        <w:t>2024</w:t>
      </w:r>
      <w:r w:rsidRPr="00182EF9">
        <w:rPr>
          <w:bCs/>
          <w:lang w:val="hr-HR"/>
        </w:rPr>
        <w:t xml:space="preserve">. godinu, ukupni prihodi, </w:t>
      </w:r>
      <w:r w:rsidRPr="004F0BB0">
        <w:rPr>
          <w:bCs/>
          <w:lang w:val="hr-HR"/>
        </w:rPr>
        <w:t xml:space="preserve">primici i financiranje povećavaju se u odnosu na prvobitno planirane za </w:t>
      </w:r>
      <w:r w:rsidR="00F428FC" w:rsidRPr="004F0BB0">
        <w:rPr>
          <w:bCs/>
          <w:lang w:val="hr-HR"/>
        </w:rPr>
        <w:t>6,02</w:t>
      </w:r>
      <w:r w:rsidR="00DC0893" w:rsidRPr="004F0BB0">
        <w:rPr>
          <w:bCs/>
          <w:lang w:val="hr-HR"/>
        </w:rPr>
        <w:t>%</w:t>
      </w:r>
      <w:r w:rsidRPr="004F0BB0">
        <w:rPr>
          <w:bCs/>
          <w:lang w:val="hr-HR"/>
        </w:rPr>
        <w:t xml:space="preserve"> i iznose </w:t>
      </w:r>
      <w:r w:rsidR="00F428FC" w:rsidRPr="004F0BB0">
        <w:rPr>
          <w:bCs/>
          <w:lang w:val="hr-HR"/>
        </w:rPr>
        <w:t>71.622.</w:t>
      </w:r>
      <w:r w:rsidR="002E70E4" w:rsidRPr="004F0BB0">
        <w:rPr>
          <w:bCs/>
          <w:lang w:val="hr-HR"/>
        </w:rPr>
        <w:t>480</w:t>
      </w:r>
      <w:r w:rsidR="00E97E81" w:rsidRPr="004F0BB0">
        <w:rPr>
          <w:bCs/>
          <w:lang w:val="hr-HR"/>
        </w:rPr>
        <w:t xml:space="preserve"> KM</w:t>
      </w:r>
      <w:r w:rsidRPr="004F0BB0">
        <w:rPr>
          <w:bCs/>
          <w:lang w:val="hr-HR"/>
        </w:rPr>
        <w:t xml:space="preserve">. </w:t>
      </w:r>
      <w:r w:rsidR="001F5E62" w:rsidRPr="004F0BB0">
        <w:rPr>
          <w:bCs/>
          <w:lang w:val="hr-HR"/>
        </w:rPr>
        <w:t xml:space="preserve">Planirani rashodi i izdaci iznose </w:t>
      </w:r>
      <w:r w:rsidR="002E70E4" w:rsidRPr="004F0BB0">
        <w:rPr>
          <w:bCs/>
          <w:lang w:val="hr-HR"/>
        </w:rPr>
        <w:t>72.</w:t>
      </w:r>
      <w:r w:rsidR="00994E2C">
        <w:rPr>
          <w:bCs/>
          <w:lang w:val="hr-HR"/>
        </w:rPr>
        <w:t>119</w:t>
      </w:r>
      <w:r w:rsidR="002E70E4" w:rsidRPr="004F0BB0">
        <w:rPr>
          <w:bCs/>
          <w:lang w:val="hr-HR"/>
        </w:rPr>
        <w:t>.</w:t>
      </w:r>
      <w:r w:rsidR="00994E2C">
        <w:rPr>
          <w:bCs/>
          <w:lang w:val="hr-HR"/>
        </w:rPr>
        <w:t>80</w:t>
      </w:r>
      <w:r w:rsidR="002E70E4" w:rsidRPr="004F0BB0">
        <w:rPr>
          <w:bCs/>
          <w:lang w:val="hr-HR"/>
        </w:rPr>
        <w:t>0</w:t>
      </w:r>
      <w:r w:rsidR="001F5E62" w:rsidRPr="004F0BB0">
        <w:rPr>
          <w:bCs/>
          <w:lang w:val="hr-HR"/>
        </w:rPr>
        <w:t xml:space="preserve"> KM i veći su od prvobitno planiranih </w:t>
      </w:r>
      <w:r w:rsidR="002E70E4" w:rsidRPr="004F0BB0">
        <w:rPr>
          <w:bCs/>
          <w:lang w:val="hr-HR"/>
        </w:rPr>
        <w:t>6,76</w:t>
      </w:r>
      <w:r w:rsidR="001F5E62" w:rsidRPr="004F0BB0">
        <w:rPr>
          <w:bCs/>
          <w:lang w:val="hr-HR"/>
        </w:rPr>
        <w:t>%.</w:t>
      </w:r>
      <w:r w:rsidR="001F5E62" w:rsidRPr="00182EF9">
        <w:rPr>
          <w:bCs/>
          <w:lang w:val="hr-HR"/>
        </w:rPr>
        <w:t xml:space="preserve"> </w:t>
      </w:r>
    </w:p>
    <w:p w14:paraId="2A248F4E" w14:textId="30E96262" w:rsidR="006B3383" w:rsidRPr="00182EF9" w:rsidRDefault="006B3383" w:rsidP="00074737">
      <w:pPr>
        <w:jc w:val="both"/>
        <w:rPr>
          <w:bCs/>
          <w:lang w:val="hr-HR"/>
        </w:rPr>
      </w:pPr>
      <w:r w:rsidRPr="00182EF9">
        <w:rPr>
          <w:bCs/>
          <w:lang w:val="hr-HR"/>
        </w:rPr>
        <w:tab/>
      </w:r>
      <w:r w:rsidRPr="004F0BB0">
        <w:rPr>
          <w:bCs/>
          <w:lang w:val="hr-HR"/>
        </w:rPr>
        <w:t xml:space="preserve">Tekuća bilanca </w:t>
      </w:r>
      <w:r w:rsidR="001D3032" w:rsidRPr="004F0BB0">
        <w:rPr>
          <w:bCs/>
          <w:lang w:val="hr-HR"/>
        </w:rPr>
        <w:t xml:space="preserve">Izmjena i dopuna </w:t>
      </w:r>
      <w:r w:rsidRPr="004F0BB0">
        <w:rPr>
          <w:bCs/>
          <w:lang w:val="hr-HR"/>
        </w:rPr>
        <w:t>Proračuna</w:t>
      </w:r>
      <w:r w:rsidR="001D3032" w:rsidRPr="004F0BB0">
        <w:rPr>
          <w:bCs/>
          <w:lang w:val="hr-HR"/>
        </w:rPr>
        <w:t xml:space="preserve"> Županije Posavske</w:t>
      </w:r>
      <w:r w:rsidRPr="004F0BB0">
        <w:rPr>
          <w:bCs/>
          <w:lang w:val="hr-HR"/>
        </w:rPr>
        <w:t xml:space="preserve"> iznosi </w:t>
      </w:r>
      <w:r w:rsidR="007F5978" w:rsidRPr="004F0BB0">
        <w:rPr>
          <w:bCs/>
          <w:lang w:val="hr-HR"/>
        </w:rPr>
        <w:t>7.</w:t>
      </w:r>
      <w:r w:rsidR="00994E2C">
        <w:rPr>
          <w:bCs/>
          <w:lang w:val="hr-HR"/>
        </w:rPr>
        <w:t>390</w:t>
      </w:r>
      <w:r w:rsidR="007F5978" w:rsidRPr="004F0BB0">
        <w:rPr>
          <w:bCs/>
          <w:lang w:val="hr-HR"/>
        </w:rPr>
        <w:t>.</w:t>
      </w:r>
      <w:r w:rsidR="00994E2C">
        <w:rPr>
          <w:bCs/>
          <w:lang w:val="hr-HR"/>
        </w:rPr>
        <w:t>6</w:t>
      </w:r>
      <w:r w:rsidR="007F5978" w:rsidRPr="004F0BB0">
        <w:rPr>
          <w:bCs/>
          <w:lang w:val="hr-HR"/>
        </w:rPr>
        <w:t>60</w:t>
      </w:r>
      <w:r w:rsidRPr="004F0BB0">
        <w:rPr>
          <w:bCs/>
          <w:lang w:val="hr-HR"/>
        </w:rPr>
        <w:t xml:space="preserve"> KM</w:t>
      </w:r>
      <w:r w:rsidR="001F5E62" w:rsidRPr="004F0BB0">
        <w:rPr>
          <w:bCs/>
          <w:lang w:val="hr-HR"/>
        </w:rPr>
        <w:t>.</w:t>
      </w:r>
      <w:r w:rsidR="001F5E62" w:rsidRPr="00182EF9">
        <w:rPr>
          <w:bCs/>
          <w:lang w:val="hr-HR"/>
        </w:rPr>
        <w:t xml:space="preserve"> </w:t>
      </w:r>
    </w:p>
    <w:p w14:paraId="2A248F4F" w14:textId="499CF235" w:rsidR="006B3383" w:rsidRPr="008F1A91" w:rsidRDefault="003F629E" w:rsidP="00074737">
      <w:pPr>
        <w:jc w:val="both"/>
        <w:rPr>
          <w:lang w:val="hr-HR"/>
        </w:rPr>
      </w:pPr>
      <w:r w:rsidRPr="008F1A91">
        <w:rPr>
          <w:lang w:val="hr-HR"/>
        </w:rPr>
        <w:tab/>
      </w:r>
      <w:r w:rsidR="000E6720" w:rsidRPr="008F1A91">
        <w:rPr>
          <w:lang w:val="hr-HR"/>
        </w:rPr>
        <w:t>Ukupan planirani financijski rezultat je negativan i iznosi -</w:t>
      </w:r>
      <w:r w:rsidR="00994E2C">
        <w:rPr>
          <w:lang w:val="hr-HR"/>
        </w:rPr>
        <w:t>497</w:t>
      </w:r>
      <w:r w:rsidR="000E6720" w:rsidRPr="008F1A91">
        <w:rPr>
          <w:lang w:val="hr-HR"/>
        </w:rPr>
        <w:t>.</w:t>
      </w:r>
      <w:r w:rsidR="00994E2C">
        <w:rPr>
          <w:lang w:val="hr-HR"/>
        </w:rPr>
        <w:t>32</w:t>
      </w:r>
      <w:r w:rsidR="000E6720" w:rsidRPr="008F1A91">
        <w:rPr>
          <w:lang w:val="hr-HR"/>
        </w:rPr>
        <w:t>0 KM</w:t>
      </w:r>
      <w:r w:rsidR="002C7B5B" w:rsidRPr="008F1A91">
        <w:rPr>
          <w:lang w:val="hr-HR"/>
        </w:rPr>
        <w:t xml:space="preserve">. Pokriće istog planirano je iz dijela akumuliranog suficita iz ranijih razdoblja koji je na dan 31.12.2023. godine, prema </w:t>
      </w:r>
      <w:r w:rsidR="008F1A91" w:rsidRPr="008F1A91">
        <w:rPr>
          <w:lang w:val="hr-HR"/>
        </w:rPr>
        <w:t>službenim izvješćima, iznosio 1.607.673 KM.</w:t>
      </w:r>
    </w:p>
    <w:p w14:paraId="2A248F50" w14:textId="77777777" w:rsidR="001D3032" w:rsidRPr="00182EF9" w:rsidRDefault="001D3032" w:rsidP="00074737">
      <w:pPr>
        <w:jc w:val="both"/>
        <w:rPr>
          <w:b/>
          <w:bCs/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593A7C" w:rsidRPr="00182EF9" w14:paraId="2A248F56" w14:textId="77777777" w:rsidTr="001F5E62">
        <w:tc>
          <w:tcPr>
            <w:tcW w:w="815" w:type="dxa"/>
            <w:shd w:val="clear" w:color="auto" w:fill="404040"/>
          </w:tcPr>
          <w:p w14:paraId="2A248F54" w14:textId="77777777" w:rsidR="00593A7C" w:rsidRPr="00182EF9" w:rsidRDefault="006B3383">
            <w:pPr>
              <w:pStyle w:val="Naslov"/>
              <w:rPr>
                <w:color w:val="FFFFFF"/>
              </w:rPr>
            </w:pPr>
            <w:r w:rsidRPr="00182EF9">
              <w:rPr>
                <w:color w:val="FFFFFF"/>
              </w:rPr>
              <w:t>4</w:t>
            </w:r>
            <w:r w:rsidR="00445243" w:rsidRPr="00182EF9">
              <w:rPr>
                <w:color w:val="FFFFFF"/>
              </w:rPr>
              <w:t>.</w:t>
            </w:r>
          </w:p>
        </w:tc>
        <w:tc>
          <w:tcPr>
            <w:tcW w:w="8568" w:type="dxa"/>
          </w:tcPr>
          <w:p w14:paraId="2A248F55" w14:textId="146B1553" w:rsidR="00593A7C" w:rsidRPr="00182EF9" w:rsidRDefault="00445243" w:rsidP="001D3032">
            <w:pPr>
              <w:pStyle w:val="Naslov"/>
              <w:jc w:val="both"/>
            </w:pPr>
            <w:r w:rsidRPr="00182EF9">
              <w:t xml:space="preserve">STRUKTURA IZMJENA I DOPUNA PRORAČUNA ŽUPANIJE POSAVSKE ZA </w:t>
            </w:r>
            <w:r w:rsidR="002708F2">
              <w:t>2024</w:t>
            </w:r>
            <w:r w:rsidRPr="00182EF9">
              <w:t>. GODINU – PRIHODI</w:t>
            </w:r>
            <w:r w:rsidR="002439BB" w:rsidRPr="00182EF9">
              <w:t>,</w:t>
            </w:r>
            <w:r w:rsidRPr="00182EF9">
              <w:t xml:space="preserve"> PRIMICI</w:t>
            </w:r>
            <w:r w:rsidR="002762F0" w:rsidRPr="00182EF9">
              <w:t xml:space="preserve"> I</w:t>
            </w:r>
            <w:r w:rsidR="002439BB" w:rsidRPr="00182EF9">
              <w:t xml:space="preserve"> FINANCIRANJE</w:t>
            </w:r>
          </w:p>
        </w:tc>
      </w:tr>
    </w:tbl>
    <w:p w14:paraId="2A248F57" w14:textId="77777777" w:rsidR="00593A7C" w:rsidRPr="00182EF9" w:rsidRDefault="00593A7C">
      <w:pPr>
        <w:jc w:val="both"/>
        <w:rPr>
          <w:lang w:val="hr-HR"/>
        </w:rPr>
      </w:pPr>
    </w:p>
    <w:p w14:paraId="2A248F58" w14:textId="6BD9F496" w:rsidR="00593A7C" w:rsidRPr="00182EF9" w:rsidRDefault="00445243">
      <w:pPr>
        <w:pStyle w:val="Tijeloteksta-uvlaka2"/>
        <w:rPr>
          <w:color w:val="auto"/>
        </w:rPr>
      </w:pPr>
      <w:r w:rsidRPr="004F4FBD">
        <w:rPr>
          <w:color w:val="auto"/>
        </w:rPr>
        <w:t xml:space="preserve">Izmjenama i dopunama </w:t>
      </w:r>
      <w:r w:rsidR="00AE7162" w:rsidRPr="004F4FBD">
        <w:rPr>
          <w:color w:val="auto"/>
        </w:rPr>
        <w:t>P</w:t>
      </w:r>
      <w:r w:rsidRPr="004F4FBD">
        <w:rPr>
          <w:color w:val="auto"/>
        </w:rPr>
        <w:t xml:space="preserve">roračuna </w:t>
      </w:r>
      <w:r w:rsidR="005D7C88" w:rsidRPr="004F4FBD">
        <w:rPr>
          <w:color w:val="auto"/>
        </w:rPr>
        <w:t xml:space="preserve">Županije Posavske </w:t>
      </w:r>
      <w:r w:rsidRPr="004F4FBD">
        <w:rPr>
          <w:color w:val="auto"/>
        </w:rPr>
        <w:t xml:space="preserve">za fiskalnu </w:t>
      </w:r>
      <w:r w:rsidR="002708F2" w:rsidRPr="004F4FBD">
        <w:rPr>
          <w:color w:val="auto"/>
        </w:rPr>
        <w:t>2024</w:t>
      </w:r>
      <w:r w:rsidRPr="004F4FBD">
        <w:rPr>
          <w:color w:val="auto"/>
        </w:rPr>
        <w:t>. godinu ukupno planirani prihodi</w:t>
      </w:r>
      <w:r w:rsidR="00C71E83" w:rsidRPr="004F4FBD">
        <w:rPr>
          <w:color w:val="auto"/>
        </w:rPr>
        <w:t>,</w:t>
      </w:r>
      <w:r w:rsidRPr="004F4FBD">
        <w:rPr>
          <w:color w:val="auto"/>
        </w:rPr>
        <w:t xml:space="preserve"> primici </w:t>
      </w:r>
      <w:r w:rsidR="00C71E83" w:rsidRPr="004F4FBD">
        <w:rPr>
          <w:color w:val="auto"/>
        </w:rPr>
        <w:t xml:space="preserve">i financiranje </w:t>
      </w:r>
      <w:r w:rsidRPr="004F4FBD">
        <w:rPr>
          <w:color w:val="auto"/>
        </w:rPr>
        <w:t xml:space="preserve">iznose </w:t>
      </w:r>
      <w:r w:rsidR="004F4FBD" w:rsidRPr="004F4FBD">
        <w:rPr>
          <w:color w:val="auto"/>
        </w:rPr>
        <w:t>71.622.480</w:t>
      </w:r>
      <w:r w:rsidRPr="004F4FBD">
        <w:rPr>
          <w:color w:val="auto"/>
        </w:rPr>
        <w:t xml:space="preserve"> KM i </w:t>
      </w:r>
      <w:r w:rsidR="005D7C88" w:rsidRPr="004F4FBD">
        <w:rPr>
          <w:color w:val="auto"/>
        </w:rPr>
        <w:t>veći</w:t>
      </w:r>
      <w:r w:rsidRPr="004F4FBD">
        <w:rPr>
          <w:color w:val="auto"/>
        </w:rPr>
        <w:t xml:space="preserve"> su u odnosu na prethodno planirane </w:t>
      </w:r>
      <w:r w:rsidR="00F22599" w:rsidRPr="004F4FBD">
        <w:rPr>
          <w:color w:val="auto"/>
        </w:rPr>
        <w:t xml:space="preserve">(s uključenim zakonskim izmjenama) </w:t>
      </w:r>
      <w:r w:rsidRPr="004F4FBD">
        <w:rPr>
          <w:color w:val="auto"/>
        </w:rPr>
        <w:t xml:space="preserve">za </w:t>
      </w:r>
      <w:r w:rsidR="004F4FBD" w:rsidRPr="004F4FBD">
        <w:rPr>
          <w:color w:val="auto"/>
        </w:rPr>
        <w:t>6,02</w:t>
      </w:r>
      <w:r w:rsidRPr="004F4FBD">
        <w:rPr>
          <w:color w:val="auto"/>
        </w:rPr>
        <w:t>%,</w:t>
      </w:r>
      <w:r w:rsidR="002A281F" w:rsidRPr="004F4FBD">
        <w:rPr>
          <w:color w:val="auto"/>
        </w:rPr>
        <w:t xml:space="preserve"> </w:t>
      </w:r>
      <w:r w:rsidRPr="004F4FBD">
        <w:rPr>
          <w:color w:val="auto"/>
        </w:rPr>
        <w:t xml:space="preserve">odnosno u apsolutnom iznosu </w:t>
      </w:r>
      <w:r w:rsidR="005D7C88" w:rsidRPr="004F4FBD">
        <w:rPr>
          <w:color w:val="auto"/>
        </w:rPr>
        <w:t>veći</w:t>
      </w:r>
      <w:r w:rsidR="00C40B99" w:rsidRPr="004F4FBD">
        <w:rPr>
          <w:color w:val="auto"/>
        </w:rPr>
        <w:t xml:space="preserve"> </w:t>
      </w:r>
      <w:r w:rsidRPr="004F4FBD">
        <w:rPr>
          <w:color w:val="auto"/>
        </w:rPr>
        <w:t xml:space="preserve">za </w:t>
      </w:r>
      <w:r w:rsidR="004F4FBD" w:rsidRPr="004F4FBD">
        <w:rPr>
          <w:color w:val="auto"/>
        </w:rPr>
        <w:t>4.066.987</w:t>
      </w:r>
      <w:r w:rsidR="006F3118" w:rsidRPr="004F4FBD">
        <w:rPr>
          <w:color w:val="auto"/>
        </w:rPr>
        <w:t xml:space="preserve"> </w:t>
      </w:r>
      <w:r w:rsidRPr="004F4FBD">
        <w:rPr>
          <w:color w:val="auto"/>
        </w:rPr>
        <w:t>KM.</w:t>
      </w:r>
    </w:p>
    <w:p w14:paraId="2A248F5A" w14:textId="50988BBD" w:rsidR="00585869" w:rsidRPr="00182EF9" w:rsidRDefault="00585869">
      <w:pPr>
        <w:pStyle w:val="Tijeloteksta-uvlaka2"/>
        <w:rPr>
          <w:color w:val="auto"/>
        </w:rPr>
      </w:pPr>
      <w:r w:rsidRPr="00182EF9">
        <w:rPr>
          <w:color w:val="auto"/>
        </w:rPr>
        <w:t xml:space="preserve">Na slijedećem grafu prikazan je usporedni prikaz promjene </w:t>
      </w:r>
      <w:r w:rsidR="002C27C8" w:rsidRPr="00182EF9">
        <w:rPr>
          <w:color w:val="auto"/>
        </w:rPr>
        <w:t>osnovnih skupina</w:t>
      </w:r>
      <w:r w:rsidRPr="00182EF9">
        <w:rPr>
          <w:color w:val="auto"/>
        </w:rPr>
        <w:t xml:space="preserve"> prihoda</w:t>
      </w:r>
      <w:r w:rsidR="002439BB" w:rsidRPr="00182EF9">
        <w:rPr>
          <w:color w:val="auto"/>
        </w:rPr>
        <w:t>,</w:t>
      </w:r>
      <w:r w:rsidRPr="00182EF9">
        <w:rPr>
          <w:color w:val="auto"/>
        </w:rPr>
        <w:t xml:space="preserve"> primitaka</w:t>
      </w:r>
      <w:r w:rsidR="002439BB" w:rsidRPr="00182EF9">
        <w:rPr>
          <w:color w:val="auto"/>
        </w:rPr>
        <w:t xml:space="preserve"> i financiranje</w:t>
      </w:r>
      <w:r w:rsidRPr="00182EF9">
        <w:rPr>
          <w:color w:val="auto"/>
        </w:rPr>
        <w:t xml:space="preserve"> u Izmjenama i dopunama proračuna Županije Posavske za </w:t>
      </w:r>
      <w:r w:rsidR="002708F2">
        <w:rPr>
          <w:color w:val="auto"/>
        </w:rPr>
        <w:t>2024</w:t>
      </w:r>
      <w:r w:rsidRPr="00182EF9">
        <w:rPr>
          <w:color w:val="auto"/>
        </w:rPr>
        <w:t>. godinu.</w:t>
      </w:r>
    </w:p>
    <w:p w14:paraId="2A248F5B" w14:textId="77777777" w:rsidR="00585869" w:rsidRPr="00182EF9" w:rsidRDefault="00585869" w:rsidP="00585869">
      <w:pPr>
        <w:pStyle w:val="Tijeloteksta-uvlaka2"/>
        <w:ind w:firstLine="0"/>
        <w:rPr>
          <w:color w:val="auto"/>
        </w:rPr>
      </w:pPr>
    </w:p>
    <w:p w14:paraId="2A248F5C" w14:textId="7F6581D6" w:rsidR="00585869" w:rsidRPr="00182EF9" w:rsidRDefault="00234DC2" w:rsidP="00585869">
      <w:pPr>
        <w:pStyle w:val="Tijeloteksta-uvlaka2"/>
        <w:ind w:firstLine="0"/>
        <w:jc w:val="center"/>
        <w:rPr>
          <w:color w:val="auto"/>
        </w:rPr>
      </w:pPr>
      <w:r w:rsidRPr="00182EF9">
        <w:rPr>
          <w:noProof/>
          <w:color w:val="auto"/>
        </w:rPr>
        <w:drawing>
          <wp:inline distT="0" distB="0" distL="0" distR="0" wp14:anchorId="2A249083" wp14:editId="789DAE30">
            <wp:extent cx="5499100" cy="3022600"/>
            <wp:effectExtent l="0" t="0" r="0" b="0"/>
            <wp:docPr id="1" name="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A248F5D" w14:textId="77777777" w:rsidR="00633664" w:rsidRPr="00182EF9" w:rsidRDefault="00633664">
      <w:pPr>
        <w:pStyle w:val="Naslov3"/>
        <w:jc w:val="both"/>
      </w:pPr>
    </w:p>
    <w:p w14:paraId="2A248F5E" w14:textId="77777777" w:rsidR="00593A7C" w:rsidRPr="00182EF9" w:rsidRDefault="00445243">
      <w:pPr>
        <w:pStyle w:val="Naslov3"/>
        <w:jc w:val="both"/>
      </w:pPr>
      <w:r w:rsidRPr="00182EF9">
        <w:t xml:space="preserve">3.1   </w:t>
      </w:r>
      <w:r w:rsidRPr="00182EF9">
        <w:tab/>
        <w:t>POREZNI PRIHODI</w:t>
      </w:r>
    </w:p>
    <w:p w14:paraId="2A248F5F" w14:textId="77777777" w:rsidR="00593A7C" w:rsidRPr="00182EF9" w:rsidRDefault="00593A7C">
      <w:pPr>
        <w:jc w:val="both"/>
        <w:rPr>
          <w:lang w:val="hr-HR"/>
        </w:rPr>
      </w:pPr>
    </w:p>
    <w:p w14:paraId="2A248F60" w14:textId="575904FF" w:rsidR="00593A7C" w:rsidRPr="00182EF9" w:rsidRDefault="001D3032">
      <w:pPr>
        <w:pStyle w:val="Tijeloteksta-uvlaka2"/>
        <w:rPr>
          <w:color w:val="auto"/>
        </w:rPr>
      </w:pPr>
      <w:r w:rsidRPr="00182EF9">
        <w:rPr>
          <w:color w:val="auto"/>
        </w:rPr>
        <w:t>Izmjenama i dopunama</w:t>
      </w:r>
      <w:r w:rsidR="00445243" w:rsidRPr="00182EF9">
        <w:rPr>
          <w:color w:val="auto"/>
        </w:rPr>
        <w:t xml:space="preserve"> </w:t>
      </w:r>
      <w:r w:rsidR="00EC3909" w:rsidRPr="00182EF9">
        <w:rPr>
          <w:color w:val="auto"/>
        </w:rPr>
        <w:t xml:space="preserve">Proračuna Županije Posavske za </w:t>
      </w:r>
      <w:r w:rsidR="002708F2">
        <w:rPr>
          <w:color w:val="auto"/>
        </w:rPr>
        <w:t>2024</w:t>
      </w:r>
      <w:r w:rsidR="00EC3909" w:rsidRPr="00182EF9">
        <w:rPr>
          <w:color w:val="auto"/>
        </w:rPr>
        <w:t xml:space="preserve">. godinu </w:t>
      </w:r>
      <w:r w:rsidR="00445243" w:rsidRPr="00182EF9">
        <w:rPr>
          <w:color w:val="auto"/>
        </w:rPr>
        <w:t xml:space="preserve">ukupno planirani porezni prihodi (kategorija 710000) iznose </w:t>
      </w:r>
      <w:r w:rsidR="009F5A67">
        <w:rPr>
          <w:color w:val="auto"/>
        </w:rPr>
        <w:t>56</w:t>
      </w:r>
      <w:r w:rsidR="006E5297" w:rsidRPr="00182EF9">
        <w:rPr>
          <w:color w:val="auto"/>
        </w:rPr>
        <w:t>.</w:t>
      </w:r>
      <w:r w:rsidR="009F5A67">
        <w:rPr>
          <w:color w:val="auto"/>
        </w:rPr>
        <w:t>961</w:t>
      </w:r>
      <w:r w:rsidR="006E5297" w:rsidRPr="00182EF9">
        <w:rPr>
          <w:color w:val="auto"/>
        </w:rPr>
        <w:t>.</w:t>
      </w:r>
      <w:r w:rsidR="009F5A67">
        <w:rPr>
          <w:color w:val="auto"/>
        </w:rPr>
        <w:t>162</w:t>
      </w:r>
      <w:r w:rsidR="00445243" w:rsidRPr="00182EF9">
        <w:rPr>
          <w:color w:val="auto"/>
        </w:rPr>
        <w:t xml:space="preserve"> KM, odnosno </w:t>
      </w:r>
      <w:r w:rsidR="00D4086D">
        <w:rPr>
          <w:color w:val="auto"/>
        </w:rPr>
        <w:t>7,63</w:t>
      </w:r>
      <w:r w:rsidR="00445243" w:rsidRPr="00182EF9">
        <w:rPr>
          <w:color w:val="auto"/>
        </w:rPr>
        <w:t xml:space="preserve">% </w:t>
      </w:r>
      <w:r w:rsidR="005D7C88" w:rsidRPr="00182EF9">
        <w:rPr>
          <w:color w:val="auto"/>
        </w:rPr>
        <w:t>više</w:t>
      </w:r>
      <w:r w:rsidR="00445243" w:rsidRPr="00182EF9">
        <w:rPr>
          <w:color w:val="auto"/>
        </w:rPr>
        <w:t xml:space="preserve"> u odnosu na </w:t>
      </w:r>
      <w:r w:rsidR="005D7C88" w:rsidRPr="00182EF9">
        <w:rPr>
          <w:color w:val="auto"/>
        </w:rPr>
        <w:t>prethodni</w:t>
      </w:r>
      <w:r w:rsidR="00420C8F" w:rsidRPr="00182EF9">
        <w:rPr>
          <w:color w:val="auto"/>
        </w:rPr>
        <w:t xml:space="preserve"> </w:t>
      </w:r>
      <w:r w:rsidR="00445243" w:rsidRPr="00182EF9">
        <w:rPr>
          <w:color w:val="auto"/>
        </w:rPr>
        <w:t>plan</w:t>
      </w:r>
      <w:r w:rsidR="00863968" w:rsidRPr="00182EF9">
        <w:rPr>
          <w:color w:val="auto"/>
        </w:rPr>
        <w:t>,</w:t>
      </w:r>
      <w:r w:rsidR="00445243" w:rsidRPr="00182EF9">
        <w:rPr>
          <w:color w:val="auto"/>
        </w:rPr>
        <w:t xml:space="preserve"> ili </w:t>
      </w:r>
      <w:r w:rsidR="005C1FE7">
        <w:rPr>
          <w:color w:val="auto"/>
        </w:rPr>
        <w:t>4.039.382</w:t>
      </w:r>
      <w:r w:rsidR="00445243" w:rsidRPr="00182EF9">
        <w:rPr>
          <w:color w:val="auto"/>
        </w:rPr>
        <w:t xml:space="preserve"> KM </w:t>
      </w:r>
      <w:r w:rsidR="005D7C88" w:rsidRPr="00182EF9">
        <w:rPr>
          <w:color w:val="auto"/>
        </w:rPr>
        <w:t>više</w:t>
      </w:r>
      <w:r w:rsidR="00445243" w:rsidRPr="00182EF9">
        <w:rPr>
          <w:color w:val="auto"/>
        </w:rPr>
        <w:t xml:space="preserve">. Učešće poreznih prihoda u ukupno planiranim prihodima i primicima </w:t>
      </w:r>
      <w:r w:rsidR="00863968" w:rsidRPr="00182EF9">
        <w:rPr>
          <w:color w:val="auto"/>
        </w:rPr>
        <w:t xml:space="preserve">Izmjena i dopuna </w:t>
      </w:r>
      <w:r w:rsidR="00445243" w:rsidRPr="00182EF9">
        <w:rPr>
          <w:color w:val="auto"/>
        </w:rPr>
        <w:t xml:space="preserve">Proračuna iznosi </w:t>
      </w:r>
      <w:r w:rsidR="005C1FE7">
        <w:rPr>
          <w:color w:val="auto"/>
        </w:rPr>
        <w:t>79,53</w:t>
      </w:r>
      <w:r w:rsidR="00445243" w:rsidRPr="00182EF9">
        <w:rPr>
          <w:color w:val="auto"/>
        </w:rPr>
        <w:t>%.</w:t>
      </w:r>
    </w:p>
    <w:p w14:paraId="2A248F61" w14:textId="77777777" w:rsidR="004879E9" w:rsidRPr="00182EF9" w:rsidRDefault="004879E9">
      <w:pPr>
        <w:pStyle w:val="Tijeloteksta-uvlaka2"/>
        <w:rPr>
          <w:color w:val="auto"/>
        </w:rPr>
      </w:pPr>
    </w:p>
    <w:p w14:paraId="2A248F62" w14:textId="77777777" w:rsidR="00593A7C" w:rsidRPr="00182EF9" w:rsidRDefault="00445243">
      <w:pPr>
        <w:pStyle w:val="Naslov3"/>
        <w:ind w:firstLine="720"/>
        <w:jc w:val="both"/>
      </w:pPr>
      <w:r w:rsidRPr="00182EF9">
        <w:t xml:space="preserve">3.1.1. </w:t>
      </w:r>
      <w:r w:rsidRPr="00182EF9">
        <w:tab/>
        <w:t>Porez na dobit pojedinaca i poduzeća</w:t>
      </w:r>
    </w:p>
    <w:p w14:paraId="2A248F64" w14:textId="534B9FEE" w:rsidR="00311819" w:rsidRDefault="00445243" w:rsidP="00F656FF">
      <w:pPr>
        <w:autoSpaceDE w:val="0"/>
        <w:autoSpaceDN w:val="0"/>
        <w:adjustRightInd w:val="0"/>
        <w:ind w:firstLine="720"/>
        <w:jc w:val="both"/>
        <w:rPr>
          <w:noProof/>
        </w:rPr>
      </w:pPr>
      <w:r w:rsidRPr="00182EF9">
        <w:rPr>
          <w:lang w:val="hr-HR"/>
        </w:rPr>
        <w:t xml:space="preserve">Prihodi po osnovi poreza na dobit pojedinaca i poreza na dobit poduzeća (potkategorija 711000) planirani su u iznosu od </w:t>
      </w:r>
      <w:r w:rsidR="00ED376D">
        <w:rPr>
          <w:lang w:val="hr-HR"/>
        </w:rPr>
        <w:t>6.195.690</w:t>
      </w:r>
      <w:r w:rsidRPr="00182EF9">
        <w:rPr>
          <w:lang w:val="hr-HR"/>
        </w:rPr>
        <w:t xml:space="preserve"> KM</w:t>
      </w:r>
      <w:r w:rsidR="002A281F" w:rsidRPr="00182EF9">
        <w:rPr>
          <w:lang w:val="hr-HR"/>
        </w:rPr>
        <w:t>,</w:t>
      </w:r>
      <w:r w:rsidRPr="00182EF9">
        <w:rPr>
          <w:lang w:val="hr-HR"/>
        </w:rPr>
        <w:t xml:space="preserve"> što je </w:t>
      </w:r>
      <w:r w:rsidR="00ED376D">
        <w:rPr>
          <w:lang w:val="hr-HR"/>
        </w:rPr>
        <w:t>5,72</w:t>
      </w:r>
      <w:r w:rsidR="00EC3909" w:rsidRPr="00182EF9">
        <w:rPr>
          <w:lang w:val="hr-HR"/>
        </w:rPr>
        <w:t>%</w:t>
      </w:r>
      <w:r w:rsidR="005D7C88" w:rsidRPr="00182EF9">
        <w:rPr>
          <w:lang w:val="hr-HR"/>
        </w:rPr>
        <w:t xml:space="preserve"> </w:t>
      </w:r>
      <w:r w:rsidR="00ED376D">
        <w:rPr>
          <w:lang w:val="hr-HR"/>
        </w:rPr>
        <w:t>manje</w:t>
      </w:r>
      <w:r w:rsidRPr="00182EF9">
        <w:rPr>
          <w:lang w:val="hr-HR"/>
        </w:rPr>
        <w:t xml:space="preserve"> u odnosu na </w:t>
      </w:r>
      <w:r w:rsidR="006E5297" w:rsidRPr="00182EF9">
        <w:rPr>
          <w:lang w:val="hr-HR"/>
        </w:rPr>
        <w:t>prvobitno</w:t>
      </w:r>
      <w:r w:rsidRPr="00182EF9">
        <w:rPr>
          <w:lang w:val="hr-HR"/>
        </w:rPr>
        <w:t xml:space="preserve"> planirane</w:t>
      </w:r>
      <w:r w:rsidR="00863968" w:rsidRPr="00182EF9">
        <w:rPr>
          <w:lang w:val="hr-HR"/>
        </w:rPr>
        <w:t>,</w:t>
      </w:r>
      <w:r w:rsidRPr="00182EF9">
        <w:rPr>
          <w:lang w:val="hr-HR"/>
        </w:rPr>
        <w:t xml:space="preserve"> ili u apsolutnom iznosu </w:t>
      </w:r>
      <w:r w:rsidR="006A0C7C">
        <w:rPr>
          <w:lang w:val="hr-HR"/>
        </w:rPr>
        <w:t>376.080</w:t>
      </w:r>
      <w:r w:rsidR="00DE25E3" w:rsidRPr="00182EF9">
        <w:rPr>
          <w:lang w:val="hr-HR"/>
        </w:rPr>
        <w:t xml:space="preserve"> </w:t>
      </w:r>
      <w:r w:rsidRPr="00182EF9">
        <w:rPr>
          <w:lang w:val="hr-HR"/>
        </w:rPr>
        <w:t xml:space="preserve">KM </w:t>
      </w:r>
      <w:r w:rsidR="006A0C7C">
        <w:rPr>
          <w:lang w:val="hr-HR"/>
        </w:rPr>
        <w:t>manje</w:t>
      </w:r>
      <w:r w:rsidRPr="00182EF9">
        <w:rPr>
          <w:lang w:val="hr-HR"/>
        </w:rPr>
        <w:t>. Pri planiranju prihoda</w:t>
      </w:r>
      <w:r w:rsidR="0098483C" w:rsidRPr="00182EF9">
        <w:rPr>
          <w:lang w:val="hr-HR"/>
        </w:rPr>
        <w:t xml:space="preserve"> od poreza na dobit </w:t>
      </w:r>
      <w:r w:rsidR="0098483C" w:rsidRPr="00182EF9">
        <w:rPr>
          <w:lang w:val="hr-HR"/>
        </w:rPr>
        <w:lastRenderedPageBreak/>
        <w:t>poduzeća</w:t>
      </w:r>
      <w:r w:rsidRPr="00182EF9">
        <w:rPr>
          <w:lang w:val="hr-HR"/>
        </w:rPr>
        <w:t xml:space="preserve"> Ministarstvo financija Županije Posavske se rukovodilo revidiranim projekcijama prihoda</w:t>
      </w:r>
      <w:r w:rsidR="00420C8F" w:rsidRPr="00182EF9">
        <w:rPr>
          <w:lang w:val="hr-HR"/>
        </w:rPr>
        <w:t xml:space="preserve"> od neizravnih poreza</w:t>
      </w:r>
      <w:r w:rsidRPr="00182EF9">
        <w:rPr>
          <w:lang w:val="hr-HR"/>
        </w:rPr>
        <w:t xml:space="preserve"> s Jedinstvenog računa</w:t>
      </w:r>
      <w:r w:rsidR="00420C8F" w:rsidRPr="00182EF9">
        <w:rPr>
          <w:lang w:val="hr-HR"/>
        </w:rPr>
        <w:t>,</w:t>
      </w:r>
      <w:r w:rsidRPr="00182EF9">
        <w:rPr>
          <w:lang w:val="hr-HR"/>
        </w:rPr>
        <w:t xml:space="preserve"> koje je izradilo Odjeljenje za makroekonomsku analizu (OMA) Uprave za neizravno oporezivanje BiH </w:t>
      </w:r>
      <w:r w:rsidR="00633664" w:rsidRPr="00182EF9">
        <w:rPr>
          <w:lang w:val="hr-HR"/>
        </w:rPr>
        <w:t>u</w:t>
      </w:r>
      <w:r w:rsidRPr="00182EF9">
        <w:rPr>
          <w:lang w:val="hr-HR"/>
        </w:rPr>
        <w:t xml:space="preserve"> </w:t>
      </w:r>
      <w:r w:rsidR="006E5297" w:rsidRPr="00182EF9">
        <w:rPr>
          <w:lang w:val="hr-HR"/>
        </w:rPr>
        <w:t>listopadu</w:t>
      </w:r>
      <w:r w:rsidR="002439BB" w:rsidRPr="00182EF9">
        <w:rPr>
          <w:lang w:val="hr-HR"/>
        </w:rPr>
        <w:t xml:space="preserve"> tekuće godine</w:t>
      </w:r>
      <w:r w:rsidR="00863968" w:rsidRPr="00182EF9">
        <w:rPr>
          <w:lang w:val="hr-HR"/>
        </w:rPr>
        <w:t xml:space="preserve">. </w:t>
      </w:r>
      <w:r w:rsidR="00EC3909" w:rsidRPr="00182EF9">
        <w:rPr>
          <w:lang w:val="hr-HR"/>
        </w:rPr>
        <w:t xml:space="preserve">Navedene projekcije </w:t>
      </w:r>
      <w:r w:rsidR="007934F7" w:rsidRPr="00182EF9">
        <w:rPr>
          <w:lang w:val="hr-HR"/>
        </w:rPr>
        <w:t xml:space="preserve">temeljene su na povijesnom </w:t>
      </w:r>
      <w:r w:rsidR="009F2635">
        <w:rPr>
          <w:lang w:val="hr-HR"/>
        </w:rPr>
        <w:t xml:space="preserve">i tekućem </w:t>
      </w:r>
      <w:r w:rsidR="009509EF">
        <w:rPr>
          <w:lang w:val="hr-HR"/>
        </w:rPr>
        <w:t>(01.01.-30.09.</w:t>
      </w:r>
      <w:r w:rsidR="004A61F6">
        <w:rPr>
          <w:lang w:val="hr-HR"/>
        </w:rPr>
        <w:t>2024.godine</w:t>
      </w:r>
      <w:r w:rsidR="009509EF">
        <w:rPr>
          <w:lang w:val="hr-HR"/>
        </w:rPr>
        <w:t xml:space="preserve">) </w:t>
      </w:r>
      <w:r w:rsidR="007934F7" w:rsidRPr="00182EF9">
        <w:rPr>
          <w:lang w:val="hr-HR"/>
        </w:rPr>
        <w:t>trendu naplate</w:t>
      </w:r>
      <w:r w:rsidR="009509EF">
        <w:rPr>
          <w:lang w:val="hr-HR"/>
        </w:rPr>
        <w:t>, uz procijenjena očekivanja do kraja godine</w:t>
      </w:r>
      <w:r w:rsidR="004A61F6">
        <w:rPr>
          <w:lang w:val="hr-HR"/>
        </w:rPr>
        <w:t xml:space="preserve">. </w:t>
      </w:r>
      <w:r w:rsidR="00863260">
        <w:rPr>
          <w:lang w:val="hr-HR"/>
        </w:rPr>
        <w:t>Obzirom na prilično visoku razinu nepredvidivosti, kako u međunarodnom tako i u domaćem okružju</w:t>
      </w:r>
      <w:r w:rsidR="00062F42">
        <w:rPr>
          <w:lang w:val="hr-HR"/>
        </w:rPr>
        <w:t xml:space="preserve">, listopadska projekcija ovih prihoda </w:t>
      </w:r>
      <w:r w:rsidR="00F656FF">
        <w:rPr>
          <w:lang w:val="hr-HR"/>
        </w:rPr>
        <w:t>je konzervativnija u predviđanju prosječnog godišnjeg rasta.</w:t>
      </w:r>
    </w:p>
    <w:p w14:paraId="0F09D8FF" w14:textId="77777777" w:rsidR="00F656FF" w:rsidRPr="00182EF9" w:rsidRDefault="00F656FF" w:rsidP="00F656FF">
      <w:pPr>
        <w:autoSpaceDE w:val="0"/>
        <w:autoSpaceDN w:val="0"/>
        <w:adjustRightInd w:val="0"/>
        <w:ind w:firstLine="720"/>
        <w:jc w:val="both"/>
      </w:pPr>
    </w:p>
    <w:p w14:paraId="2A248F65" w14:textId="77777777" w:rsidR="00593A7C" w:rsidRPr="00182EF9" w:rsidRDefault="00445243">
      <w:pPr>
        <w:pStyle w:val="Naslov3"/>
        <w:ind w:firstLine="720"/>
        <w:jc w:val="both"/>
      </w:pPr>
      <w:r w:rsidRPr="00182EF9">
        <w:t xml:space="preserve">3.1.2. </w:t>
      </w:r>
      <w:r w:rsidRPr="00182EF9">
        <w:tab/>
        <w:t>Porez na plaću i radnu snagu</w:t>
      </w:r>
      <w:r w:rsidR="009939BF" w:rsidRPr="00182EF9">
        <w:t xml:space="preserve"> (zaostale uplate poreza)</w:t>
      </w:r>
    </w:p>
    <w:p w14:paraId="2A248F66" w14:textId="2FC10766" w:rsidR="00593A7C" w:rsidRPr="00182EF9" w:rsidRDefault="00445243">
      <w:pPr>
        <w:pStyle w:val="Tijeloteksta"/>
        <w:ind w:firstLine="720"/>
      </w:pPr>
      <w:r w:rsidRPr="00182EF9">
        <w:t xml:space="preserve">Porezi na plaću i radnu snagu (potkategorija 713000) planirani su u iznosu od </w:t>
      </w:r>
      <w:r w:rsidR="0044252A">
        <w:t>640</w:t>
      </w:r>
      <w:r w:rsidRPr="00182EF9">
        <w:t xml:space="preserve"> KM na osnovi pristiglih iznosa </w:t>
      </w:r>
      <w:r w:rsidR="00523AFB" w:rsidRPr="00182EF9">
        <w:t xml:space="preserve">do konca </w:t>
      </w:r>
      <w:r w:rsidR="0044252A">
        <w:t>listopada</w:t>
      </w:r>
      <w:r w:rsidRPr="00182EF9">
        <w:t xml:space="preserve"> fiskalne </w:t>
      </w:r>
      <w:r w:rsidR="0044252A">
        <w:t>2024</w:t>
      </w:r>
      <w:r w:rsidRPr="00182EF9">
        <w:t>. godine</w:t>
      </w:r>
      <w:r w:rsidR="00AD0FEA" w:rsidRPr="00182EF9">
        <w:t>,</w:t>
      </w:r>
      <w:r w:rsidRPr="00182EF9">
        <w:t xml:space="preserve"> odnosno ne temelju izmirenja obveza iz prethodnih godina budući je od 01.01.2009. godine na snazi Zakon o porezu na dohodak («Službene novine Federacije BiH» broj</w:t>
      </w:r>
      <w:r w:rsidR="004C0F44" w:rsidRPr="00182EF9">
        <w:t>:</w:t>
      </w:r>
      <w:r w:rsidRPr="00182EF9">
        <w:t xml:space="preserve"> 10/08</w:t>
      </w:r>
      <w:r w:rsidR="004C0F44" w:rsidRPr="00182EF9">
        <w:t>, 9/10, 44/11, 7/13 i 65/13</w:t>
      </w:r>
      <w:r w:rsidRPr="00182EF9">
        <w:t xml:space="preserve">). </w:t>
      </w:r>
      <w:r w:rsidR="00DE25E3" w:rsidRPr="00182EF9">
        <w:t>U ovom slučaju</w:t>
      </w:r>
      <w:r w:rsidR="00497DA7" w:rsidRPr="00182EF9">
        <w:t xml:space="preserve"> i</w:t>
      </w:r>
      <w:r w:rsidRPr="00182EF9">
        <w:t xml:space="preserve">zvršenje je pokazalo </w:t>
      </w:r>
      <w:r w:rsidR="007934F7" w:rsidRPr="00182EF9">
        <w:t>manje</w:t>
      </w:r>
      <w:r w:rsidRPr="00182EF9">
        <w:t xml:space="preserve"> ostvarenje</w:t>
      </w:r>
      <w:r w:rsidR="00AD0FEA" w:rsidRPr="00182EF9">
        <w:t>,</w:t>
      </w:r>
      <w:r w:rsidRPr="00182EF9">
        <w:t xml:space="preserve"> pa su </w:t>
      </w:r>
      <w:r w:rsidR="0098483C" w:rsidRPr="00182EF9">
        <w:t>Izmjenama i dopunama</w:t>
      </w:r>
      <w:r w:rsidRPr="00182EF9">
        <w:t xml:space="preserve"> planirani prihodi od poreza na plaću i radnu snagu </w:t>
      </w:r>
      <w:r w:rsidR="007934F7" w:rsidRPr="00182EF9">
        <w:t>manji</w:t>
      </w:r>
      <w:r w:rsidRPr="00182EF9">
        <w:t xml:space="preserve"> od prethodno planiranih </w:t>
      </w:r>
      <w:r w:rsidR="00DE25E3" w:rsidRPr="00182EF9">
        <w:t xml:space="preserve">u apsolutnom iznosu </w:t>
      </w:r>
      <w:r w:rsidRPr="00182EF9">
        <w:t xml:space="preserve">za </w:t>
      </w:r>
      <w:r w:rsidR="0044252A">
        <w:t>260</w:t>
      </w:r>
      <w:r w:rsidRPr="00182EF9">
        <w:t xml:space="preserve"> KM</w:t>
      </w:r>
      <w:r w:rsidR="003B4080">
        <w:t>,</w:t>
      </w:r>
      <w:r w:rsidR="00C348DD" w:rsidRPr="00182EF9">
        <w:t xml:space="preserve"> odnosno za </w:t>
      </w:r>
      <w:r w:rsidR="00D120B9">
        <w:t>28,89</w:t>
      </w:r>
      <w:r w:rsidR="00C348DD" w:rsidRPr="00182EF9">
        <w:t>%.</w:t>
      </w:r>
    </w:p>
    <w:p w14:paraId="2A248F67" w14:textId="77777777" w:rsidR="00311819" w:rsidRPr="00182EF9" w:rsidRDefault="00311819">
      <w:pPr>
        <w:pStyle w:val="Naslov3"/>
        <w:ind w:firstLine="720"/>
        <w:jc w:val="both"/>
      </w:pPr>
    </w:p>
    <w:p w14:paraId="2A248F68" w14:textId="77777777" w:rsidR="00593A7C" w:rsidRPr="00182EF9" w:rsidRDefault="00445243">
      <w:pPr>
        <w:pStyle w:val="Naslov3"/>
        <w:ind w:firstLine="720"/>
        <w:jc w:val="both"/>
      </w:pPr>
      <w:r w:rsidRPr="00182EF9">
        <w:t xml:space="preserve">3.1.3. </w:t>
      </w:r>
      <w:r w:rsidRPr="00182EF9">
        <w:tab/>
        <w:t>Porez na imovinu</w:t>
      </w:r>
    </w:p>
    <w:p w14:paraId="2A248F69" w14:textId="6EF1C92A" w:rsidR="00C348DD" w:rsidRPr="00182EF9" w:rsidRDefault="00C348DD">
      <w:pPr>
        <w:pStyle w:val="Uvuenotijeloteksta"/>
        <w:spacing w:line="240" w:lineRule="auto"/>
      </w:pPr>
      <w:r w:rsidRPr="00182EF9">
        <w:t>P</w:t>
      </w:r>
      <w:r w:rsidR="00445243" w:rsidRPr="00182EF9">
        <w:t>rihod</w:t>
      </w:r>
      <w:r w:rsidRPr="00182EF9">
        <w:t>i</w:t>
      </w:r>
      <w:r w:rsidR="00445243" w:rsidRPr="00182EF9">
        <w:t xml:space="preserve"> od poreza na imovinu (potkategorija 714000) </w:t>
      </w:r>
      <w:r w:rsidRPr="00182EF9">
        <w:t xml:space="preserve">usklađeni su s njihovim izvršenjem u proteklom razdoblju </w:t>
      </w:r>
      <w:r w:rsidR="00D120B9">
        <w:t>2024</w:t>
      </w:r>
      <w:r w:rsidRPr="00182EF9">
        <w:t xml:space="preserve">. godine, kao i procjeni izvršenja do konca tekuće godine, i iznose </w:t>
      </w:r>
      <w:r w:rsidR="00D120B9">
        <w:t>329.770</w:t>
      </w:r>
      <w:r w:rsidRPr="00182EF9">
        <w:t xml:space="preserve"> KM, što je </w:t>
      </w:r>
      <w:r w:rsidR="00237E5D">
        <w:t>31,28</w:t>
      </w:r>
      <w:r w:rsidRPr="00182EF9">
        <w:t xml:space="preserve">% ili </w:t>
      </w:r>
      <w:r w:rsidR="00237E5D">
        <w:t>150.070</w:t>
      </w:r>
      <w:r w:rsidRPr="00182EF9">
        <w:t xml:space="preserve"> KM </w:t>
      </w:r>
      <w:r w:rsidR="00237E5D">
        <w:t>manje</w:t>
      </w:r>
      <w:r w:rsidRPr="00182EF9">
        <w:t xml:space="preserve"> od prethodno planiranog</w:t>
      </w:r>
      <w:r w:rsidR="00E50BEC" w:rsidRPr="00182EF9">
        <w:t>.</w:t>
      </w:r>
      <w:r w:rsidRPr="00182EF9">
        <w:t xml:space="preserve"> </w:t>
      </w:r>
    </w:p>
    <w:p w14:paraId="2A248F6A" w14:textId="77777777" w:rsidR="00311819" w:rsidRPr="00182EF9" w:rsidRDefault="00311819">
      <w:pPr>
        <w:ind w:firstLine="720"/>
        <w:jc w:val="both"/>
        <w:rPr>
          <w:b/>
          <w:bCs/>
          <w:lang w:val="hr-HR"/>
        </w:rPr>
      </w:pPr>
    </w:p>
    <w:p w14:paraId="2A248F6B" w14:textId="77777777" w:rsidR="00593A7C" w:rsidRPr="00182EF9" w:rsidRDefault="00445243">
      <w:pPr>
        <w:ind w:firstLine="720"/>
        <w:jc w:val="both"/>
        <w:rPr>
          <w:b/>
          <w:bCs/>
          <w:lang w:val="hr-HR"/>
        </w:rPr>
      </w:pPr>
      <w:r w:rsidRPr="00182EF9">
        <w:rPr>
          <w:b/>
          <w:bCs/>
          <w:lang w:val="hr-HR"/>
        </w:rPr>
        <w:t>3.1.4</w:t>
      </w:r>
      <w:r w:rsidRPr="00182EF9">
        <w:rPr>
          <w:lang w:val="hr-HR"/>
        </w:rPr>
        <w:t xml:space="preserve">. </w:t>
      </w:r>
      <w:r w:rsidRPr="00182EF9">
        <w:rPr>
          <w:lang w:val="hr-HR"/>
        </w:rPr>
        <w:tab/>
      </w:r>
      <w:r w:rsidRPr="00182EF9">
        <w:rPr>
          <w:b/>
          <w:bCs/>
          <w:lang w:val="hr-HR"/>
        </w:rPr>
        <w:t>Domaći porezi na dobra i usluge</w:t>
      </w:r>
      <w:r w:rsidR="009939BF" w:rsidRPr="00182EF9">
        <w:rPr>
          <w:b/>
          <w:bCs/>
          <w:lang w:val="hr-HR"/>
        </w:rPr>
        <w:t xml:space="preserve"> (zaostale obveze na temelju poreza na promet dobara i usluga)</w:t>
      </w:r>
    </w:p>
    <w:p w14:paraId="2A248F6C" w14:textId="7BAC0AD5" w:rsidR="00C40B99" w:rsidRPr="00182EF9" w:rsidRDefault="00445243" w:rsidP="00C40B99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182EF9">
        <w:rPr>
          <w:lang w:val="hr-HR"/>
        </w:rPr>
        <w:t>Prihodi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od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domaćih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poreza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na dobra i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usluge (potkategorija 715000) su</w:t>
      </w:r>
      <w:r w:rsidR="00420C8F" w:rsidRPr="00182EF9">
        <w:rPr>
          <w:lang w:val="hr-HR"/>
        </w:rPr>
        <w:t xml:space="preserve"> </w:t>
      </w:r>
      <w:r w:rsidR="009B41E3" w:rsidRPr="00182EF9">
        <w:rPr>
          <w:lang w:val="hr-HR"/>
        </w:rPr>
        <w:t xml:space="preserve">Izmjenama i dopunama Proračuna </w:t>
      </w:r>
      <w:r w:rsidRPr="00182EF9">
        <w:rPr>
          <w:lang w:val="hr-HR"/>
        </w:rPr>
        <w:t xml:space="preserve">planirani u iznosu od </w:t>
      </w:r>
      <w:r w:rsidR="00E95172">
        <w:rPr>
          <w:lang w:val="hr-HR"/>
        </w:rPr>
        <w:t>5.500</w:t>
      </w:r>
      <w:r w:rsidRPr="00182EF9">
        <w:rPr>
          <w:lang w:val="hr-HR"/>
        </w:rPr>
        <w:t xml:space="preserve"> KM, odnosno </w:t>
      </w:r>
      <w:r w:rsidR="00E95172">
        <w:rPr>
          <w:lang w:val="hr-HR"/>
        </w:rPr>
        <w:t>0,55</w:t>
      </w:r>
      <w:r w:rsidR="007934F7" w:rsidRPr="00182EF9">
        <w:rPr>
          <w:lang w:val="hr-HR"/>
        </w:rPr>
        <w:t xml:space="preserve">% više ili </w:t>
      </w:r>
      <w:r w:rsidR="00E95172">
        <w:rPr>
          <w:lang w:val="hr-HR"/>
        </w:rPr>
        <w:t>30</w:t>
      </w:r>
      <w:r w:rsidRPr="00182EF9">
        <w:rPr>
          <w:lang w:val="hr-HR"/>
        </w:rPr>
        <w:t xml:space="preserve"> KM </w:t>
      </w:r>
      <w:r w:rsidR="007934F7" w:rsidRPr="00182EF9">
        <w:rPr>
          <w:lang w:val="hr-HR"/>
        </w:rPr>
        <w:t>više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nego u odnosu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na</w:t>
      </w:r>
      <w:r w:rsidR="00420C8F" w:rsidRPr="00182EF9">
        <w:rPr>
          <w:lang w:val="hr-HR"/>
        </w:rPr>
        <w:t xml:space="preserve"> </w:t>
      </w:r>
      <w:r w:rsidR="007934F7" w:rsidRPr="00182EF9">
        <w:rPr>
          <w:lang w:val="hr-HR"/>
        </w:rPr>
        <w:t>prvobitni</w:t>
      </w:r>
      <w:r w:rsidRPr="00182EF9">
        <w:rPr>
          <w:lang w:val="hr-HR"/>
        </w:rPr>
        <w:t xml:space="preserve"> plan</w:t>
      </w:r>
      <w:r w:rsidR="00523AFB" w:rsidRPr="00182EF9">
        <w:rPr>
          <w:lang w:val="hr-HR"/>
        </w:rPr>
        <w:t>, a na temelju izvršenja u razdoblju siječanj-</w:t>
      </w:r>
      <w:r w:rsidR="00E95172">
        <w:rPr>
          <w:lang w:val="hr-HR"/>
        </w:rPr>
        <w:t>listopad</w:t>
      </w:r>
      <w:r w:rsidR="00523AFB" w:rsidRPr="00182EF9">
        <w:rPr>
          <w:lang w:val="hr-HR"/>
        </w:rPr>
        <w:t xml:space="preserve"> </w:t>
      </w:r>
      <w:r w:rsidR="0011559F">
        <w:rPr>
          <w:lang w:val="hr-HR"/>
        </w:rPr>
        <w:t>2024</w:t>
      </w:r>
      <w:r w:rsidR="00523AFB" w:rsidRPr="00182EF9">
        <w:rPr>
          <w:lang w:val="hr-HR"/>
        </w:rPr>
        <w:t>. godine.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Porezne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prihode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po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osnov</w:t>
      </w:r>
      <w:r w:rsidR="00837872" w:rsidRPr="00182EF9">
        <w:rPr>
          <w:lang w:val="hr-HR"/>
        </w:rPr>
        <w:t>i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poreza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na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promet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visokotarifnih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roba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i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određenih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proizvoda, porez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na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promet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tarifnog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broj</w:t>
      </w:r>
      <w:r w:rsidR="00837872" w:rsidRPr="00182EF9">
        <w:rPr>
          <w:lang w:val="hr-HR"/>
        </w:rPr>
        <w:t>a</w:t>
      </w:r>
      <w:r w:rsidRPr="00182EF9">
        <w:rPr>
          <w:lang w:val="hr-HR"/>
        </w:rPr>
        <w:t xml:space="preserve"> 1. i 2. i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porez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na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promet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usluga od 01.01.2006.godine zamjenjuju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prihodi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od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neizravnih</w:t>
      </w:r>
      <w:r w:rsidR="00420C8F" w:rsidRPr="00182EF9">
        <w:rPr>
          <w:lang w:val="hr-HR"/>
        </w:rPr>
        <w:t xml:space="preserve"> </w:t>
      </w:r>
      <w:r w:rsidRPr="00182EF9">
        <w:rPr>
          <w:lang w:val="hr-HR"/>
        </w:rPr>
        <w:t>poreza.</w:t>
      </w:r>
    </w:p>
    <w:p w14:paraId="2A248F6D" w14:textId="77777777" w:rsidR="00311819" w:rsidRPr="00182EF9" w:rsidRDefault="00311819" w:rsidP="00C40B99">
      <w:pPr>
        <w:autoSpaceDE w:val="0"/>
        <w:autoSpaceDN w:val="0"/>
        <w:adjustRightInd w:val="0"/>
        <w:ind w:firstLine="720"/>
        <w:jc w:val="both"/>
        <w:rPr>
          <w:b/>
          <w:lang w:val="hr-HR"/>
        </w:rPr>
      </w:pPr>
    </w:p>
    <w:p w14:paraId="2A248F6E" w14:textId="77777777" w:rsidR="00C40B99" w:rsidRPr="00182EF9" w:rsidRDefault="00445243" w:rsidP="00C40B99">
      <w:pPr>
        <w:autoSpaceDE w:val="0"/>
        <w:autoSpaceDN w:val="0"/>
        <w:adjustRightInd w:val="0"/>
        <w:ind w:firstLine="720"/>
        <w:jc w:val="both"/>
        <w:rPr>
          <w:b/>
          <w:lang w:val="hr-HR"/>
        </w:rPr>
      </w:pPr>
      <w:r w:rsidRPr="00182EF9">
        <w:rPr>
          <w:b/>
          <w:lang w:val="hr-HR"/>
        </w:rPr>
        <w:t xml:space="preserve">3.1.5. </w:t>
      </w:r>
      <w:r w:rsidRPr="00182EF9">
        <w:rPr>
          <w:b/>
          <w:lang w:val="hr-HR"/>
        </w:rPr>
        <w:tab/>
        <w:t>Porez na dohodak</w:t>
      </w:r>
    </w:p>
    <w:p w14:paraId="2A248F6F" w14:textId="079A23D5" w:rsidR="001E49B4" w:rsidRPr="00182EF9" w:rsidRDefault="00445243" w:rsidP="00C40B99">
      <w:pPr>
        <w:autoSpaceDE w:val="0"/>
        <w:autoSpaceDN w:val="0"/>
        <w:adjustRightInd w:val="0"/>
        <w:ind w:firstLine="720"/>
        <w:jc w:val="both"/>
        <w:rPr>
          <w:b/>
          <w:bCs/>
          <w:lang w:val="hr-HR"/>
        </w:rPr>
      </w:pPr>
      <w:r w:rsidRPr="00182EF9">
        <w:rPr>
          <w:lang w:val="hr-HR"/>
        </w:rPr>
        <w:t xml:space="preserve">Prihodi po osnovi poreza na dohodak (potkategorija 716000) se Izmjenama i dopunama proračuna planiraju u iznosu od </w:t>
      </w:r>
      <w:r w:rsidR="007934F7" w:rsidRPr="00182EF9">
        <w:rPr>
          <w:lang w:val="hr-HR"/>
        </w:rPr>
        <w:t>5.</w:t>
      </w:r>
      <w:r w:rsidR="00E95172">
        <w:rPr>
          <w:lang w:val="hr-HR"/>
        </w:rPr>
        <w:t>884</w:t>
      </w:r>
      <w:r w:rsidR="007934F7" w:rsidRPr="00182EF9">
        <w:rPr>
          <w:lang w:val="hr-HR"/>
        </w:rPr>
        <w:t>.</w:t>
      </w:r>
      <w:r w:rsidR="00E95172">
        <w:rPr>
          <w:lang w:val="hr-HR"/>
        </w:rPr>
        <w:t>520</w:t>
      </w:r>
      <w:r w:rsidRPr="00182EF9">
        <w:rPr>
          <w:lang w:val="hr-HR"/>
        </w:rPr>
        <w:t xml:space="preserve"> KM</w:t>
      </w:r>
      <w:r w:rsidR="00497DA7" w:rsidRPr="00182EF9">
        <w:rPr>
          <w:lang w:val="hr-HR"/>
        </w:rPr>
        <w:t>,</w:t>
      </w:r>
      <w:r w:rsidRPr="00182EF9">
        <w:rPr>
          <w:lang w:val="hr-HR"/>
        </w:rPr>
        <w:t xml:space="preserve"> i </w:t>
      </w:r>
      <w:r w:rsidR="00C5604A" w:rsidRPr="00182EF9">
        <w:rPr>
          <w:lang w:val="hr-HR"/>
        </w:rPr>
        <w:t>veći</w:t>
      </w:r>
      <w:r w:rsidRPr="00182EF9">
        <w:rPr>
          <w:lang w:val="hr-HR"/>
        </w:rPr>
        <w:t xml:space="preserve"> su za </w:t>
      </w:r>
      <w:r w:rsidR="00E95172">
        <w:rPr>
          <w:lang w:val="hr-HR"/>
        </w:rPr>
        <w:t>0,82</w:t>
      </w:r>
      <w:r w:rsidRPr="00182EF9">
        <w:rPr>
          <w:lang w:val="hr-HR"/>
        </w:rPr>
        <w:t xml:space="preserve">% u odnosu na </w:t>
      </w:r>
      <w:r w:rsidR="007934F7" w:rsidRPr="00182EF9">
        <w:rPr>
          <w:lang w:val="hr-HR"/>
        </w:rPr>
        <w:t>prvobitni</w:t>
      </w:r>
      <w:r w:rsidRPr="00182EF9">
        <w:rPr>
          <w:lang w:val="hr-HR"/>
        </w:rPr>
        <w:t xml:space="preserve"> plan</w:t>
      </w:r>
      <w:r w:rsidR="00497DA7" w:rsidRPr="00182EF9">
        <w:rPr>
          <w:lang w:val="hr-HR"/>
        </w:rPr>
        <w:t>,</w:t>
      </w:r>
      <w:r w:rsidR="00837872" w:rsidRPr="00182EF9">
        <w:rPr>
          <w:lang w:val="hr-HR"/>
        </w:rPr>
        <w:t xml:space="preserve"> </w:t>
      </w:r>
      <w:r w:rsidR="000632AE" w:rsidRPr="00182EF9">
        <w:rPr>
          <w:lang w:val="hr-HR"/>
        </w:rPr>
        <w:t xml:space="preserve">ili u apsolutnom iznosu </w:t>
      </w:r>
      <w:r w:rsidR="00286227">
        <w:rPr>
          <w:lang w:val="hr-HR"/>
        </w:rPr>
        <w:t>48.090</w:t>
      </w:r>
      <w:r w:rsidR="000632AE" w:rsidRPr="00182EF9">
        <w:rPr>
          <w:lang w:val="hr-HR"/>
        </w:rPr>
        <w:t xml:space="preserve"> KM </w:t>
      </w:r>
      <w:r w:rsidR="00C5604A" w:rsidRPr="00182EF9">
        <w:rPr>
          <w:lang w:val="hr-HR"/>
        </w:rPr>
        <w:t>veći</w:t>
      </w:r>
      <w:r w:rsidR="000632AE" w:rsidRPr="00182EF9">
        <w:rPr>
          <w:lang w:val="hr-HR"/>
        </w:rPr>
        <w:t>.</w:t>
      </w:r>
      <w:r w:rsidR="00837872" w:rsidRPr="00182EF9">
        <w:rPr>
          <w:lang w:val="hr-HR"/>
        </w:rPr>
        <w:t xml:space="preserve"> </w:t>
      </w:r>
      <w:r w:rsidR="00C5604A" w:rsidRPr="00182EF9">
        <w:rPr>
          <w:lang w:val="hr-HR"/>
        </w:rPr>
        <w:t>Povećanje</w:t>
      </w:r>
      <w:r w:rsidRPr="00182EF9">
        <w:rPr>
          <w:lang w:val="hr-HR"/>
        </w:rPr>
        <w:t xml:space="preserve"> prihoda po osnovi poreza na dohodak planirano je </w:t>
      </w:r>
      <w:r w:rsidR="00C5604A" w:rsidRPr="00182EF9">
        <w:rPr>
          <w:lang w:val="hr-HR"/>
        </w:rPr>
        <w:t>na temelju pristiglih iznosa u razdoblju siječanj-</w:t>
      </w:r>
      <w:r w:rsidR="00286227">
        <w:rPr>
          <w:lang w:val="hr-HR"/>
        </w:rPr>
        <w:t>listopad</w:t>
      </w:r>
      <w:r w:rsidR="00C5604A" w:rsidRPr="00182EF9">
        <w:rPr>
          <w:lang w:val="hr-HR"/>
        </w:rPr>
        <w:t xml:space="preserve"> </w:t>
      </w:r>
      <w:r w:rsidRPr="00182EF9">
        <w:rPr>
          <w:lang w:val="hr-HR"/>
        </w:rPr>
        <w:t xml:space="preserve">fiskalne </w:t>
      </w:r>
      <w:r w:rsidR="00286227">
        <w:rPr>
          <w:lang w:val="hr-HR"/>
        </w:rPr>
        <w:t>2024</w:t>
      </w:r>
      <w:r w:rsidRPr="00182EF9">
        <w:rPr>
          <w:lang w:val="hr-HR"/>
        </w:rPr>
        <w:t>. godine</w:t>
      </w:r>
      <w:r w:rsidR="00892B55" w:rsidRPr="00182EF9">
        <w:rPr>
          <w:lang w:val="hr-HR"/>
        </w:rPr>
        <w:t>, te</w:t>
      </w:r>
      <w:r w:rsidRPr="00182EF9">
        <w:rPr>
          <w:lang w:val="hr-HR"/>
        </w:rPr>
        <w:t xml:space="preserve"> </w:t>
      </w:r>
      <w:r w:rsidR="00892B55" w:rsidRPr="00182EF9">
        <w:rPr>
          <w:lang w:val="hr-HR"/>
        </w:rPr>
        <w:t>k</w:t>
      </w:r>
      <w:r w:rsidRPr="00182EF9">
        <w:rPr>
          <w:lang w:val="hr-HR"/>
        </w:rPr>
        <w:t>a</w:t>
      </w:r>
      <w:r w:rsidR="007D3AE4" w:rsidRPr="00182EF9">
        <w:rPr>
          <w:lang w:val="hr-HR"/>
        </w:rPr>
        <w:t>o</w:t>
      </w:r>
      <w:r w:rsidR="00837872" w:rsidRPr="00182EF9">
        <w:rPr>
          <w:lang w:val="hr-HR"/>
        </w:rPr>
        <w:t xml:space="preserve"> </w:t>
      </w:r>
      <w:r w:rsidR="007D3AE4" w:rsidRPr="00182EF9">
        <w:rPr>
          <w:lang w:val="hr-HR"/>
        </w:rPr>
        <w:t>i</w:t>
      </w:r>
      <w:r w:rsidRPr="00182EF9">
        <w:rPr>
          <w:lang w:val="hr-HR"/>
        </w:rPr>
        <w:t xml:space="preserve"> kod prihoda po osnovi poreza na dobit</w:t>
      </w:r>
      <w:r w:rsidR="00C5604A" w:rsidRPr="00182EF9">
        <w:rPr>
          <w:lang w:val="hr-HR"/>
        </w:rPr>
        <w:t>,</w:t>
      </w:r>
      <w:r w:rsidRPr="00182EF9">
        <w:rPr>
          <w:lang w:val="hr-HR"/>
        </w:rPr>
        <w:t xml:space="preserve"> na revidiranim projekcijama Odjeljenja za makroekonomsku analizu (OMA) Uprave za neizravno oporezivanje BiH</w:t>
      </w:r>
      <w:r w:rsidR="00837872" w:rsidRPr="00182EF9">
        <w:rPr>
          <w:lang w:val="hr-HR"/>
        </w:rPr>
        <w:t xml:space="preserve"> iz </w:t>
      </w:r>
      <w:r w:rsidR="00044E7A">
        <w:rPr>
          <w:lang w:val="hr-HR"/>
        </w:rPr>
        <w:t>listopada</w:t>
      </w:r>
      <w:r w:rsidR="00837872" w:rsidRPr="00182EF9">
        <w:rPr>
          <w:lang w:val="hr-HR"/>
        </w:rPr>
        <w:t xml:space="preserve"> tekuće godine</w:t>
      </w:r>
      <w:r w:rsidRPr="00182EF9">
        <w:rPr>
          <w:lang w:val="hr-HR"/>
        </w:rPr>
        <w:t>.</w:t>
      </w:r>
      <w:r w:rsidR="009939BF" w:rsidRPr="00182EF9">
        <w:rPr>
          <w:lang w:val="hr-HR"/>
        </w:rPr>
        <w:t xml:space="preserve"> </w:t>
      </w:r>
      <w:r w:rsidR="00C96BD4">
        <w:rPr>
          <w:lang w:val="hr-HR"/>
        </w:rPr>
        <w:t>Revidirane projekcije prihoda od poreza na dohodak</w:t>
      </w:r>
      <w:r w:rsidR="008B3531">
        <w:rPr>
          <w:lang w:val="hr-HR"/>
        </w:rPr>
        <w:t xml:space="preserve"> zasnovane su na povijesnom i tekućem (01.01.-30.09.2024.godine) trendu naplate</w:t>
      </w:r>
      <w:r w:rsidR="00D43C75">
        <w:rPr>
          <w:lang w:val="hr-HR"/>
        </w:rPr>
        <w:t xml:space="preserve">. </w:t>
      </w:r>
      <w:r w:rsidR="00252A4E">
        <w:rPr>
          <w:lang w:val="hr-HR"/>
        </w:rPr>
        <w:t xml:space="preserve">Pretpostavka skromnijeg rasta ovih prihoda </w:t>
      </w:r>
      <w:r w:rsidR="009E2400">
        <w:rPr>
          <w:lang w:val="hr-HR"/>
        </w:rPr>
        <w:t xml:space="preserve">temeljena je na </w:t>
      </w:r>
      <w:r w:rsidR="00DE32CB">
        <w:rPr>
          <w:lang w:val="hr-HR"/>
        </w:rPr>
        <w:t xml:space="preserve">predviđanju </w:t>
      </w:r>
      <w:r w:rsidR="00805E0C">
        <w:rPr>
          <w:lang w:val="hr-HR"/>
        </w:rPr>
        <w:t>stabilizacij</w:t>
      </w:r>
      <w:r w:rsidR="00DE32CB">
        <w:rPr>
          <w:lang w:val="hr-HR"/>
        </w:rPr>
        <w:t>e</w:t>
      </w:r>
      <w:r w:rsidR="00805E0C">
        <w:rPr>
          <w:lang w:val="hr-HR"/>
        </w:rPr>
        <w:t xml:space="preserve"> inflacije</w:t>
      </w:r>
      <w:r w:rsidR="00C932E8">
        <w:rPr>
          <w:lang w:val="hr-HR"/>
        </w:rPr>
        <w:t xml:space="preserve">, te s tim u vezi </w:t>
      </w:r>
      <w:r w:rsidR="00B13DFF">
        <w:rPr>
          <w:lang w:val="hr-HR"/>
        </w:rPr>
        <w:t>umjerenijem rastu prosječne plaće</w:t>
      </w:r>
      <w:r w:rsidR="005F1EB6">
        <w:rPr>
          <w:lang w:val="hr-HR"/>
        </w:rPr>
        <w:t xml:space="preserve"> u odnosu na 2022. i 2023. godinu.</w:t>
      </w:r>
      <w:r w:rsidR="00F51CDF">
        <w:rPr>
          <w:lang w:val="hr-HR"/>
        </w:rPr>
        <w:t xml:space="preserve"> </w:t>
      </w:r>
      <w:r w:rsidR="00612F0B" w:rsidRPr="00182EF9">
        <w:rPr>
          <w:lang w:val="hr-HR"/>
        </w:rPr>
        <w:t xml:space="preserve"> </w:t>
      </w:r>
    </w:p>
    <w:p w14:paraId="2A248F70" w14:textId="3F5D54F5" w:rsidR="00311819" w:rsidRPr="00182EF9" w:rsidRDefault="00311819">
      <w:pPr>
        <w:pStyle w:val="Naslov3"/>
        <w:ind w:firstLine="720"/>
        <w:jc w:val="both"/>
      </w:pPr>
    </w:p>
    <w:p w14:paraId="2A248F71" w14:textId="77777777" w:rsidR="00593A7C" w:rsidRPr="00182EF9" w:rsidRDefault="00445243">
      <w:pPr>
        <w:pStyle w:val="Naslov3"/>
        <w:ind w:firstLine="720"/>
        <w:jc w:val="both"/>
      </w:pPr>
      <w:r w:rsidRPr="00182EF9">
        <w:t xml:space="preserve">3.1.6. </w:t>
      </w:r>
      <w:r w:rsidRPr="00182EF9">
        <w:tab/>
        <w:t>Prihodi od neizravnih poreza</w:t>
      </w:r>
    </w:p>
    <w:p w14:paraId="2A248F72" w14:textId="5CD78E7C" w:rsidR="00691888" w:rsidRPr="00182EF9" w:rsidRDefault="00445243" w:rsidP="00691888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Prihodi od neizravnih poreza (potkategorija 717000) planirani su u </w:t>
      </w:r>
      <w:r w:rsidR="005F1EB6">
        <w:rPr>
          <w:lang w:val="hr-HR"/>
        </w:rPr>
        <w:t>ukupnom iznosu</w:t>
      </w:r>
      <w:r w:rsidRPr="00182EF9">
        <w:rPr>
          <w:lang w:val="hr-HR"/>
        </w:rPr>
        <w:t xml:space="preserve"> od </w:t>
      </w:r>
      <w:r w:rsidR="00E56315">
        <w:rPr>
          <w:lang w:val="hr-HR"/>
        </w:rPr>
        <w:t>44.544.812</w:t>
      </w:r>
      <w:r w:rsidRPr="00182EF9">
        <w:rPr>
          <w:lang w:val="hr-HR"/>
        </w:rPr>
        <w:t xml:space="preserve"> KM, što je </w:t>
      </w:r>
      <w:r w:rsidR="007E0C25" w:rsidRPr="00182EF9">
        <w:rPr>
          <w:lang w:val="hr-HR"/>
        </w:rPr>
        <w:t>povećanje</w:t>
      </w:r>
      <w:r w:rsidRPr="00182EF9">
        <w:rPr>
          <w:lang w:val="hr-HR"/>
        </w:rPr>
        <w:t xml:space="preserve"> od </w:t>
      </w:r>
      <w:r w:rsidR="00E56315">
        <w:rPr>
          <w:lang w:val="hr-HR"/>
        </w:rPr>
        <w:t>11,29</w:t>
      </w:r>
      <w:r w:rsidRPr="00182EF9">
        <w:rPr>
          <w:lang w:val="hr-HR"/>
        </w:rPr>
        <w:t xml:space="preserve">% u odnosu na </w:t>
      </w:r>
      <w:r w:rsidR="00904535" w:rsidRPr="00182EF9">
        <w:rPr>
          <w:lang w:val="hr-HR"/>
        </w:rPr>
        <w:t>prvobitni</w:t>
      </w:r>
      <w:r w:rsidRPr="00182EF9">
        <w:rPr>
          <w:lang w:val="hr-HR"/>
        </w:rPr>
        <w:t xml:space="preserve"> plan, odnosno u </w:t>
      </w:r>
      <w:r w:rsidR="002C0370" w:rsidRPr="00182EF9">
        <w:rPr>
          <w:lang w:val="hr-HR"/>
        </w:rPr>
        <w:t xml:space="preserve">apsolutnom iznosu </w:t>
      </w:r>
      <w:r w:rsidR="007E0C25" w:rsidRPr="00182EF9">
        <w:rPr>
          <w:lang w:val="hr-HR"/>
        </w:rPr>
        <w:t>povećanje</w:t>
      </w:r>
      <w:r w:rsidR="002C0370" w:rsidRPr="00182EF9">
        <w:rPr>
          <w:lang w:val="hr-HR"/>
        </w:rPr>
        <w:t xml:space="preserve"> za </w:t>
      </w:r>
      <w:r w:rsidR="00E56315">
        <w:rPr>
          <w:lang w:val="hr-HR"/>
        </w:rPr>
        <w:t>4.517.962</w:t>
      </w:r>
      <w:r w:rsidR="00904535" w:rsidRPr="00182EF9">
        <w:rPr>
          <w:lang w:val="hr-HR"/>
        </w:rPr>
        <w:t xml:space="preserve"> </w:t>
      </w:r>
      <w:r w:rsidRPr="00182EF9">
        <w:rPr>
          <w:lang w:val="hr-HR"/>
        </w:rPr>
        <w:t>KM.</w:t>
      </w:r>
    </w:p>
    <w:p w14:paraId="2A248F73" w14:textId="2FD99149" w:rsidR="00690420" w:rsidRPr="00182EF9" w:rsidRDefault="00445243" w:rsidP="00690420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 </w:t>
      </w:r>
      <w:r w:rsidR="00691888" w:rsidRPr="00182EF9">
        <w:rPr>
          <w:lang w:val="hr-HR"/>
        </w:rPr>
        <w:t xml:space="preserve">Plan prihoda od neizravnih poreza Županije Posavske u </w:t>
      </w:r>
      <w:r w:rsidR="00E56315">
        <w:rPr>
          <w:lang w:val="hr-HR"/>
        </w:rPr>
        <w:t>2024</w:t>
      </w:r>
      <w:r w:rsidR="00691888" w:rsidRPr="00182EF9">
        <w:rPr>
          <w:lang w:val="hr-HR"/>
        </w:rPr>
        <w:t xml:space="preserve">. godini zasniva se na projekcijama čiji je izračun utemeljen na makroekonomskim pokazateljima izrađenim od strane Direkcije za ekonomsko planiranje BiH (DEP), i projekcijama prihoda Odjeljenja za makroekonomsku analizu (OMA) Upravnog odbora Uprave za neizravno oporezivanje iz </w:t>
      </w:r>
      <w:r w:rsidR="00690420" w:rsidRPr="00182EF9">
        <w:rPr>
          <w:lang w:val="hr-HR"/>
        </w:rPr>
        <w:t>listopada</w:t>
      </w:r>
      <w:r w:rsidR="00691888" w:rsidRPr="00182EF9">
        <w:rPr>
          <w:lang w:val="hr-HR"/>
        </w:rPr>
        <w:t xml:space="preserve"> </w:t>
      </w:r>
      <w:r w:rsidR="00E56315">
        <w:rPr>
          <w:lang w:val="hr-HR"/>
        </w:rPr>
        <w:lastRenderedPageBreak/>
        <w:t>2024</w:t>
      </w:r>
      <w:r w:rsidR="00691888" w:rsidRPr="00182EF9">
        <w:rPr>
          <w:lang w:val="hr-HR"/>
        </w:rPr>
        <w:t>. godine.</w:t>
      </w:r>
      <w:r w:rsidR="00690420" w:rsidRPr="00182EF9">
        <w:rPr>
          <w:lang w:val="hr-HR"/>
        </w:rPr>
        <w:t xml:space="preserve"> Iste su temeljene na srednjoročnom Planu naplate ukupnih prihoda na Jedinstvenom računu, srednjoročnim prognozama kretanja krajnje potrošnje, i planu otplate vanjskog duga. </w:t>
      </w:r>
    </w:p>
    <w:p w14:paraId="2A248F74" w14:textId="64EE6906" w:rsidR="00690420" w:rsidRPr="00182EF9" w:rsidRDefault="00690420" w:rsidP="00690420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Pojedinačna raspodjela prihoda od neizravnih poreza na županijske proračune za </w:t>
      </w:r>
      <w:r w:rsidR="00F219F5">
        <w:rPr>
          <w:lang w:val="hr-HR"/>
        </w:rPr>
        <w:t>2024</w:t>
      </w:r>
      <w:r w:rsidRPr="00182EF9">
        <w:rPr>
          <w:lang w:val="hr-HR"/>
        </w:rPr>
        <w:t xml:space="preserve">. godinu izvršena je prema koeficijentima raspodjele iz Upute o određivanju učešća kantona, jedinica lokalne samouprave i nadležnih kantonalnih ustanova za ceste u prihodima od neizravnih poreza i načinu raspoređivanja tih prihoda za </w:t>
      </w:r>
      <w:r w:rsidR="00F219F5">
        <w:rPr>
          <w:lang w:val="hr-HR"/>
        </w:rPr>
        <w:t>2024</w:t>
      </w:r>
      <w:r w:rsidRPr="00182EF9">
        <w:rPr>
          <w:lang w:val="hr-HR"/>
        </w:rPr>
        <w:t xml:space="preserve">. godinu („Službene novine Federacije BiH“, broj: </w:t>
      </w:r>
      <w:r w:rsidR="00F219F5">
        <w:rPr>
          <w:lang w:val="hr-HR"/>
        </w:rPr>
        <w:t>72/23</w:t>
      </w:r>
      <w:r w:rsidRPr="00182EF9">
        <w:rPr>
          <w:lang w:val="hr-HR"/>
        </w:rPr>
        <w:t>), a na temelju metodologije propisane Zakonom o pripadnosti javnih prihoda u Federaciji BiH („Službene novine Federacije BiH“, broj: 22/06, 43/08, 22/09, 35/14 i 94/15).</w:t>
      </w:r>
      <w:r w:rsidR="00935F6D" w:rsidRPr="00182EF9">
        <w:rPr>
          <w:lang w:val="hr-HR"/>
        </w:rPr>
        <w:t xml:space="preserve"> </w:t>
      </w:r>
    </w:p>
    <w:p w14:paraId="2A248F75" w14:textId="04B873E7" w:rsidR="00754CF7" w:rsidRPr="00182EF9" w:rsidRDefault="002F40A2" w:rsidP="00754CF7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182EF9">
        <w:rPr>
          <w:lang w:val="hr-HR"/>
        </w:rPr>
        <w:t>U strukturi prihoda od neizravnih poreza</w:t>
      </w:r>
      <w:r w:rsidR="00C56D71" w:rsidRPr="00182EF9">
        <w:rPr>
          <w:lang w:val="hr-HR"/>
        </w:rPr>
        <w:t xml:space="preserve"> koji se </w:t>
      </w:r>
      <w:r w:rsidR="00A73C16" w:rsidRPr="00182EF9">
        <w:rPr>
          <w:lang w:val="hr-HR"/>
        </w:rPr>
        <w:t>planiraju  ostvariti</w:t>
      </w:r>
      <w:r w:rsidR="00C56D71" w:rsidRPr="00182EF9">
        <w:rPr>
          <w:lang w:val="hr-HR"/>
        </w:rPr>
        <w:t xml:space="preserve"> </w:t>
      </w:r>
      <w:r w:rsidR="00A73C16" w:rsidRPr="00182EF9">
        <w:rPr>
          <w:lang w:val="hr-HR"/>
        </w:rPr>
        <w:t>u</w:t>
      </w:r>
      <w:r w:rsidR="00C56D71" w:rsidRPr="00182EF9">
        <w:rPr>
          <w:lang w:val="hr-HR"/>
        </w:rPr>
        <w:t xml:space="preserve"> </w:t>
      </w:r>
      <w:r w:rsidR="007D0F71">
        <w:rPr>
          <w:lang w:val="hr-HR"/>
        </w:rPr>
        <w:t>2024</w:t>
      </w:r>
      <w:r w:rsidR="00A73C16" w:rsidRPr="00182EF9">
        <w:rPr>
          <w:lang w:val="hr-HR"/>
        </w:rPr>
        <w:t>. godini</w:t>
      </w:r>
      <w:r w:rsidRPr="00182EF9">
        <w:rPr>
          <w:lang w:val="hr-HR"/>
        </w:rPr>
        <w:t xml:space="preserve"> prihodi od neizravnih poreza koji pripadaju županijama (analitički konto 717121) </w:t>
      </w:r>
      <w:r w:rsidR="001D0858" w:rsidRPr="00182EF9">
        <w:rPr>
          <w:lang w:val="hr-HR"/>
        </w:rPr>
        <w:t>povećavaju</w:t>
      </w:r>
      <w:r w:rsidR="00661C39" w:rsidRPr="00182EF9">
        <w:rPr>
          <w:lang w:val="hr-HR"/>
        </w:rPr>
        <w:t xml:space="preserve"> se</w:t>
      </w:r>
      <w:r w:rsidRPr="00182EF9">
        <w:rPr>
          <w:lang w:val="hr-HR"/>
        </w:rPr>
        <w:t xml:space="preserve"> za </w:t>
      </w:r>
      <w:r w:rsidR="00E4497C">
        <w:rPr>
          <w:lang w:val="hr-HR"/>
        </w:rPr>
        <w:t>9,11</w:t>
      </w:r>
      <w:r w:rsidRPr="00182EF9">
        <w:rPr>
          <w:lang w:val="hr-HR"/>
        </w:rPr>
        <w:t>%</w:t>
      </w:r>
      <w:r w:rsidR="00C56D71" w:rsidRPr="00182EF9">
        <w:rPr>
          <w:lang w:val="hr-HR"/>
        </w:rPr>
        <w:t>,</w:t>
      </w:r>
      <w:r w:rsidRPr="00182EF9">
        <w:rPr>
          <w:lang w:val="hr-HR"/>
        </w:rPr>
        <w:t xml:space="preserve"> ili za </w:t>
      </w:r>
      <w:r w:rsidR="00E4497C">
        <w:rPr>
          <w:lang w:val="hr-HR"/>
        </w:rPr>
        <w:t>3.520.370</w:t>
      </w:r>
      <w:r w:rsidR="00754CF7" w:rsidRPr="00182EF9">
        <w:rPr>
          <w:lang w:val="hr-HR"/>
        </w:rPr>
        <w:t xml:space="preserve"> </w:t>
      </w:r>
      <w:r w:rsidRPr="00182EF9">
        <w:rPr>
          <w:lang w:val="hr-HR"/>
        </w:rPr>
        <w:t>KM</w:t>
      </w:r>
      <w:r w:rsidR="001E49B4" w:rsidRPr="00182EF9">
        <w:rPr>
          <w:lang w:val="hr-HR"/>
        </w:rPr>
        <w:t>,</w:t>
      </w:r>
      <w:r w:rsidRPr="00182EF9">
        <w:rPr>
          <w:lang w:val="hr-HR"/>
        </w:rPr>
        <w:t xml:space="preserve"> </w:t>
      </w:r>
      <w:r w:rsidR="00754CF7" w:rsidRPr="00182EF9">
        <w:rPr>
          <w:lang w:val="hr-HR"/>
        </w:rPr>
        <w:t xml:space="preserve">prihodi od neizravnih poreza koji pripadaju Direkciji cesta (analitički konto 717131) povećavaju se za </w:t>
      </w:r>
      <w:r w:rsidR="002F7408">
        <w:rPr>
          <w:lang w:val="hr-HR"/>
        </w:rPr>
        <w:t>93,67</w:t>
      </w:r>
      <w:r w:rsidR="00754CF7" w:rsidRPr="00182EF9">
        <w:rPr>
          <w:lang w:val="hr-HR"/>
        </w:rPr>
        <w:t xml:space="preserve">% ili za </w:t>
      </w:r>
      <w:r w:rsidR="00E80BFA">
        <w:rPr>
          <w:lang w:val="hr-HR"/>
        </w:rPr>
        <w:t>984.802</w:t>
      </w:r>
      <w:r w:rsidR="00754CF7" w:rsidRPr="00182EF9">
        <w:rPr>
          <w:lang w:val="hr-HR"/>
        </w:rPr>
        <w:t xml:space="preserve"> KM</w:t>
      </w:r>
      <w:r w:rsidR="00935F6D" w:rsidRPr="00182EF9">
        <w:rPr>
          <w:lang w:val="hr-HR"/>
        </w:rPr>
        <w:t xml:space="preserve">, a </w:t>
      </w:r>
      <w:r w:rsidR="00754CF7" w:rsidRPr="00182EF9">
        <w:rPr>
          <w:lang w:val="hr-HR"/>
        </w:rPr>
        <w:t xml:space="preserve"> prihod</w:t>
      </w:r>
      <w:r w:rsidR="00935F6D" w:rsidRPr="00182EF9">
        <w:rPr>
          <w:lang w:val="hr-HR"/>
        </w:rPr>
        <w:t>i</w:t>
      </w:r>
      <w:r w:rsidR="00754CF7" w:rsidRPr="00182EF9">
        <w:rPr>
          <w:lang w:val="hr-HR"/>
        </w:rPr>
        <w:t xml:space="preserve"> </w:t>
      </w:r>
      <w:r w:rsidR="00C56D71" w:rsidRPr="00182EF9">
        <w:rPr>
          <w:lang w:val="hr-HR"/>
        </w:rPr>
        <w:t xml:space="preserve">od neizravnih poreza na ime financiranja autocesta </w:t>
      </w:r>
      <w:r w:rsidR="009A22D9" w:rsidRPr="00182EF9">
        <w:rPr>
          <w:lang w:val="hr-HR"/>
        </w:rPr>
        <w:t>(analitički konto 717114)</w:t>
      </w:r>
      <w:r w:rsidR="00935F6D" w:rsidRPr="00182EF9">
        <w:rPr>
          <w:lang w:val="hr-HR"/>
        </w:rPr>
        <w:t xml:space="preserve"> povećavaju se </w:t>
      </w:r>
      <w:r w:rsidR="00E80BFA">
        <w:rPr>
          <w:lang w:val="hr-HR"/>
        </w:rPr>
        <w:t>3,73</w:t>
      </w:r>
      <w:r w:rsidR="00935F6D" w:rsidRPr="00182EF9">
        <w:rPr>
          <w:lang w:val="hr-HR"/>
        </w:rPr>
        <w:t xml:space="preserve">% ili za </w:t>
      </w:r>
      <w:r w:rsidR="00E80BFA">
        <w:rPr>
          <w:lang w:val="hr-HR"/>
        </w:rPr>
        <w:t>12.790</w:t>
      </w:r>
      <w:r w:rsidR="00935F6D" w:rsidRPr="00182EF9">
        <w:rPr>
          <w:lang w:val="hr-HR"/>
        </w:rPr>
        <w:t xml:space="preserve"> KM.</w:t>
      </w:r>
      <w:r w:rsidR="00754CF7" w:rsidRPr="00182EF9">
        <w:rPr>
          <w:lang w:val="hr-HR"/>
        </w:rPr>
        <w:t xml:space="preserve"> </w:t>
      </w:r>
      <w:r w:rsidR="00F9336B">
        <w:rPr>
          <w:lang w:val="hr-HR"/>
        </w:rPr>
        <w:t>Izmjenama i dopunama</w:t>
      </w:r>
      <w:r w:rsidR="00935F6D" w:rsidRPr="00182EF9">
        <w:rPr>
          <w:lang w:val="hr-HR"/>
        </w:rPr>
        <w:t xml:space="preserve"> Proračuna je z</w:t>
      </w:r>
      <w:r w:rsidR="007141C3" w:rsidRPr="00182EF9">
        <w:rPr>
          <w:lang w:val="hr-HR"/>
        </w:rPr>
        <w:t>a potrebe</w:t>
      </w:r>
      <w:r w:rsidR="00754CF7" w:rsidRPr="00182EF9">
        <w:rPr>
          <w:lang w:val="hr-HR"/>
        </w:rPr>
        <w:t xml:space="preserve"> usklađivanja s planiranom namjenskom potrošnjom za održavanje</w:t>
      </w:r>
      <w:r w:rsidR="00F9336B">
        <w:rPr>
          <w:lang w:val="hr-HR"/>
        </w:rPr>
        <w:t xml:space="preserve"> </w:t>
      </w:r>
      <w:r w:rsidR="00754CF7" w:rsidRPr="00182EF9">
        <w:rPr>
          <w:lang w:val="hr-HR"/>
        </w:rPr>
        <w:t>cesta</w:t>
      </w:r>
      <w:r w:rsidR="00F9336B">
        <w:rPr>
          <w:lang w:val="hr-HR"/>
        </w:rPr>
        <w:t xml:space="preserve"> (tekuće i investicijsko)</w:t>
      </w:r>
      <w:r w:rsidR="007141C3" w:rsidRPr="00182EF9">
        <w:rPr>
          <w:lang w:val="hr-HR"/>
        </w:rPr>
        <w:t>, na analitičkom kontu 717131 – Prihodi od neizravnih poreza koji pripadaju Direkciji cesta</w:t>
      </w:r>
      <w:r w:rsidR="00754CF7" w:rsidRPr="00182EF9">
        <w:rPr>
          <w:lang w:val="hr-HR"/>
        </w:rPr>
        <w:t xml:space="preserve"> dodan dio razgraničenih prihoda iz prethodnih godina</w:t>
      </w:r>
      <w:r w:rsidR="00690659" w:rsidRPr="00182EF9">
        <w:rPr>
          <w:lang w:val="hr-HR"/>
        </w:rPr>
        <w:t xml:space="preserve"> u iznosu od </w:t>
      </w:r>
      <w:r w:rsidR="00F9336B">
        <w:rPr>
          <w:lang w:val="hr-HR"/>
        </w:rPr>
        <w:t>888.992</w:t>
      </w:r>
      <w:r w:rsidR="00690659" w:rsidRPr="00182EF9">
        <w:rPr>
          <w:lang w:val="hr-HR"/>
        </w:rPr>
        <w:t xml:space="preserve"> KM</w:t>
      </w:r>
      <w:r w:rsidR="00935F6D" w:rsidRPr="00182EF9">
        <w:rPr>
          <w:lang w:val="hr-HR"/>
        </w:rPr>
        <w:t xml:space="preserve">, a koji se </w:t>
      </w:r>
      <w:r w:rsidR="00D840FA">
        <w:rPr>
          <w:lang w:val="hr-HR"/>
        </w:rPr>
        <w:t>prvobitnim Proračunom nije planirao</w:t>
      </w:r>
      <w:r w:rsidR="00935F6D" w:rsidRPr="00182EF9">
        <w:rPr>
          <w:lang w:val="hr-HR"/>
        </w:rPr>
        <w:t>.</w:t>
      </w:r>
    </w:p>
    <w:p w14:paraId="2A248F76" w14:textId="77777777" w:rsidR="00311819" w:rsidRPr="00182EF9" w:rsidRDefault="00311819">
      <w:pPr>
        <w:pStyle w:val="Naslov3"/>
        <w:ind w:firstLine="720"/>
        <w:jc w:val="both"/>
      </w:pPr>
    </w:p>
    <w:p w14:paraId="2A248F77" w14:textId="77777777" w:rsidR="00593A7C" w:rsidRPr="00182EF9" w:rsidRDefault="00445243">
      <w:pPr>
        <w:pStyle w:val="Naslov3"/>
        <w:ind w:firstLine="720"/>
        <w:jc w:val="both"/>
      </w:pPr>
      <w:r w:rsidRPr="00182EF9">
        <w:t xml:space="preserve">3.1.7. </w:t>
      </w:r>
      <w:r w:rsidRPr="00182EF9">
        <w:tab/>
        <w:t>Ostali porezi</w:t>
      </w:r>
    </w:p>
    <w:p w14:paraId="2A248F78" w14:textId="0CB86706" w:rsidR="00593A7C" w:rsidRPr="00182EF9" w:rsidRDefault="000E3C1C">
      <w:pPr>
        <w:pStyle w:val="Tijeloteksta"/>
        <w:ind w:firstLine="720"/>
      </w:pPr>
      <w:r w:rsidRPr="00182EF9">
        <w:t>P</w:t>
      </w:r>
      <w:r w:rsidR="00445243" w:rsidRPr="00182EF9">
        <w:t xml:space="preserve">rihodi po osnovi ostalih poreza (potkategorija 719000) </w:t>
      </w:r>
      <w:r w:rsidR="0070192E" w:rsidRPr="00182EF9">
        <w:t xml:space="preserve">planirani su u iznosu od </w:t>
      </w:r>
      <w:r w:rsidR="00322AE1">
        <w:t>230</w:t>
      </w:r>
      <w:r w:rsidR="0070192E" w:rsidRPr="00182EF9">
        <w:t xml:space="preserve"> KM</w:t>
      </w:r>
      <w:r w:rsidR="00690659" w:rsidRPr="00182EF9">
        <w:t xml:space="preserve">, odnosno </w:t>
      </w:r>
      <w:r w:rsidR="00322AE1">
        <w:t>smanjeni</w:t>
      </w:r>
      <w:r w:rsidR="00690659" w:rsidRPr="00182EF9">
        <w:t xml:space="preserve"> za </w:t>
      </w:r>
      <w:r w:rsidR="00A40AAA">
        <w:t>290</w:t>
      </w:r>
      <w:r w:rsidR="00690659" w:rsidRPr="00182EF9">
        <w:t xml:space="preserve"> KM, a na temelju izvršenja u prethodnom tijeku godine</w:t>
      </w:r>
      <w:r w:rsidR="0070192E" w:rsidRPr="00182EF9">
        <w:t>.</w:t>
      </w:r>
    </w:p>
    <w:p w14:paraId="2A248F7A" w14:textId="77777777" w:rsidR="002C27C8" w:rsidRPr="00182EF9" w:rsidRDefault="002C27C8">
      <w:pPr>
        <w:pStyle w:val="Naslov3"/>
        <w:jc w:val="both"/>
        <w:rPr>
          <w:sz w:val="16"/>
          <w:szCs w:val="16"/>
        </w:rPr>
      </w:pPr>
    </w:p>
    <w:p w14:paraId="5F193448" w14:textId="77777777" w:rsidR="008C7E3B" w:rsidRPr="00182EF9" w:rsidRDefault="008C7E3B" w:rsidP="008C7E3B">
      <w:pPr>
        <w:rPr>
          <w:lang w:val="hr-HR"/>
        </w:rPr>
      </w:pPr>
    </w:p>
    <w:p w14:paraId="2A248F7B" w14:textId="77777777" w:rsidR="00593A7C" w:rsidRPr="00182EF9" w:rsidRDefault="00445243">
      <w:pPr>
        <w:pStyle w:val="Naslov3"/>
        <w:jc w:val="both"/>
      </w:pPr>
      <w:r w:rsidRPr="00182EF9">
        <w:t xml:space="preserve">3.2   </w:t>
      </w:r>
      <w:r w:rsidRPr="00182EF9">
        <w:tab/>
        <w:t>NEPOREZNI PRIHODI</w:t>
      </w:r>
    </w:p>
    <w:p w14:paraId="2A248F7C" w14:textId="77777777" w:rsidR="00593A7C" w:rsidRPr="00182EF9" w:rsidRDefault="00593A7C">
      <w:pPr>
        <w:tabs>
          <w:tab w:val="left" w:pos="1440"/>
        </w:tabs>
        <w:jc w:val="both"/>
        <w:rPr>
          <w:b/>
          <w:bCs/>
          <w:lang w:val="hr-HR"/>
        </w:rPr>
      </w:pPr>
    </w:p>
    <w:p w14:paraId="2A248F7D" w14:textId="2EFB615F" w:rsidR="00593A7C" w:rsidRPr="00182EF9" w:rsidRDefault="00445243">
      <w:pPr>
        <w:tabs>
          <w:tab w:val="left" w:pos="0"/>
        </w:tabs>
        <w:jc w:val="both"/>
        <w:rPr>
          <w:lang w:val="hr-HR"/>
        </w:rPr>
      </w:pPr>
      <w:r w:rsidRPr="00182EF9">
        <w:rPr>
          <w:b/>
          <w:bCs/>
          <w:lang w:val="hr-HR"/>
        </w:rPr>
        <w:tab/>
      </w:r>
      <w:r w:rsidR="00690659" w:rsidRPr="00182EF9">
        <w:rPr>
          <w:bCs/>
          <w:lang w:val="hr-HR"/>
        </w:rPr>
        <w:t>Predmetnim</w:t>
      </w:r>
      <w:r w:rsidR="00690659" w:rsidRPr="00182EF9">
        <w:rPr>
          <w:b/>
          <w:bCs/>
          <w:lang w:val="hr-HR"/>
        </w:rPr>
        <w:t xml:space="preserve"> </w:t>
      </w:r>
      <w:r w:rsidRPr="00182EF9">
        <w:rPr>
          <w:lang w:val="hr-HR"/>
        </w:rPr>
        <w:t xml:space="preserve">Izmjenama i dopunama proračuna za </w:t>
      </w:r>
      <w:r w:rsidR="00730AF5">
        <w:rPr>
          <w:lang w:val="hr-HR"/>
        </w:rPr>
        <w:t>2024</w:t>
      </w:r>
      <w:r w:rsidRPr="00182EF9">
        <w:rPr>
          <w:lang w:val="hr-HR"/>
        </w:rPr>
        <w:t xml:space="preserve">. godinu neporezni prihodi (kategorija 720000) planirani su u iznosu od </w:t>
      </w:r>
      <w:r w:rsidR="008C7E3B" w:rsidRPr="00182EF9">
        <w:rPr>
          <w:lang w:val="hr-HR"/>
        </w:rPr>
        <w:t>3.</w:t>
      </w:r>
      <w:r w:rsidR="00730AF5">
        <w:rPr>
          <w:lang w:val="hr-HR"/>
        </w:rPr>
        <w:t>898</w:t>
      </w:r>
      <w:r w:rsidR="008C7E3B" w:rsidRPr="00182EF9">
        <w:rPr>
          <w:lang w:val="hr-HR"/>
        </w:rPr>
        <w:t>.</w:t>
      </w:r>
      <w:r w:rsidR="00730AF5">
        <w:rPr>
          <w:lang w:val="hr-HR"/>
        </w:rPr>
        <w:t>134</w:t>
      </w:r>
      <w:r w:rsidR="00A57E46" w:rsidRPr="00182EF9">
        <w:rPr>
          <w:lang w:val="hr-HR"/>
        </w:rPr>
        <w:t xml:space="preserve"> KM</w:t>
      </w:r>
      <w:r w:rsidR="001E49B4" w:rsidRPr="00182EF9">
        <w:rPr>
          <w:lang w:val="hr-HR"/>
        </w:rPr>
        <w:t>,</w:t>
      </w:r>
      <w:r w:rsidRPr="00182EF9">
        <w:rPr>
          <w:lang w:val="hr-HR"/>
        </w:rPr>
        <w:t xml:space="preserve"> i </w:t>
      </w:r>
      <w:r w:rsidR="00690659" w:rsidRPr="00182EF9">
        <w:rPr>
          <w:lang w:val="hr-HR"/>
        </w:rPr>
        <w:t>manji</w:t>
      </w:r>
      <w:r w:rsidRPr="00182EF9">
        <w:rPr>
          <w:lang w:val="hr-HR"/>
        </w:rPr>
        <w:t xml:space="preserve"> su za </w:t>
      </w:r>
      <w:r w:rsidR="00454020">
        <w:rPr>
          <w:lang w:val="hr-HR"/>
        </w:rPr>
        <w:t>4,78</w:t>
      </w:r>
      <w:r w:rsidRPr="00182EF9">
        <w:rPr>
          <w:lang w:val="hr-HR"/>
        </w:rPr>
        <w:t>% u odnosu na prethodno planirane neporezne prihode</w:t>
      </w:r>
      <w:r w:rsidR="00C56D71" w:rsidRPr="00182EF9">
        <w:rPr>
          <w:lang w:val="hr-HR"/>
        </w:rPr>
        <w:t>,</w:t>
      </w:r>
      <w:r w:rsidRPr="00182EF9">
        <w:rPr>
          <w:lang w:val="hr-HR"/>
        </w:rPr>
        <w:t xml:space="preserve"> ili u apsolutnom iznosu </w:t>
      </w:r>
      <w:r w:rsidR="00690659" w:rsidRPr="00182EF9">
        <w:rPr>
          <w:lang w:val="hr-HR"/>
        </w:rPr>
        <w:t>manji</w:t>
      </w:r>
      <w:r w:rsidRPr="00182EF9">
        <w:rPr>
          <w:lang w:val="hr-HR"/>
        </w:rPr>
        <w:t xml:space="preserve"> za </w:t>
      </w:r>
      <w:r w:rsidR="00454020">
        <w:rPr>
          <w:lang w:val="hr-HR"/>
        </w:rPr>
        <w:t>195.876</w:t>
      </w:r>
      <w:r w:rsidRPr="00182EF9">
        <w:rPr>
          <w:lang w:val="hr-HR"/>
        </w:rPr>
        <w:t xml:space="preserve"> K</w:t>
      </w:r>
      <w:r w:rsidR="004B0A97" w:rsidRPr="00182EF9">
        <w:rPr>
          <w:lang w:val="hr-HR"/>
        </w:rPr>
        <w:t>M, a na temelju izvršenja u razdoblju siječanj-</w:t>
      </w:r>
      <w:r w:rsidR="00454020">
        <w:rPr>
          <w:lang w:val="hr-HR"/>
        </w:rPr>
        <w:t>listopad</w:t>
      </w:r>
      <w:r w:rsidR="004B0A97" w:rsidRPr="00182EF9">
        <w:rPr>
          <w:lang w:val="hr-HR"/>
        </w:rPr>
        <w:t xml:space="preserve"> </w:t>
      </w:r>
      <w:r w:rsidR="00454020">
        <w:rPr>
          <w:lang w:val="hr-HR"/>
        </w:rPr>
        <w:t>2024</w:t>
      </w:r>
      <w:r w:rsidR="004B0A97" w:rsidRPr="00182EF9">
        <w:rPr>
          <w:lang w:val="hr-HR"/>
        </w:rPr>
        <w:t>. godine</w:t>
      </w:r>
      <w:r w:rsidR="00E261E1" w:rsidRPr="00182EF9">
        <w:rPr>
          <w:lang w:val="hr-HR"/>
        </w:rPr>
        <w:t>,</w:t>
      </w:r>
      <w:r w:rsidR="00A57E46" w:rsidRPr="00182EF9">
        <w:rPr>
          <w:lang w:val="hr-HR"/>
        </w:rPr>
        <w:t xml:space="preserve"> kao i </w:t>
      </w:r>
      <w:r w:rsidR="00E261E1" w:rsidRPr="00182EF9">
        <w:rPr>
          <w:lang w:val="hr-HR"/>
        </w:rPr>
        <w:t xml:space="preserve">na temelju </w:t>
      </w:r>
      <w:r w:rsidR="00A57E46" w:rsidRPr="00182EF9">
        <w:rPr>
          <w:lang w:val="hr-HR"/>
        </w:rPr>
        <w:t>planirane namjenske potrošnje</w:t>
      </w:r>
      <w:r w:rsidR="00690659" w:rsidRPr="00182EF9">
        <w:rPr>
          <w:lang w:val="hr-HR"/>
        </w:rPr>
        <w:t xml:space="preserve"> do konca </w:t>
      </w:r>
      <w:r w:rsidR="00454020">
        <w:rPr>
          <w:lang w:val="hr-HR"/>
        </w:rPr>
        <w:t>2024</w:t>
      </w:r>
      <w:r w:rsidR="00690659" w:rsidRPr="00182EF9">
        <w:rPr>
          <w:lang w:val="hr-HR"/>
        </w:rPr>
        <w:t>. godine</w:t>
      </w:r>
      <w:r w:rsidR="004B0A97" w:rsidRPr="00182EF9">
        <w:rPr>
          <w:lang w:val="hr-HR"/>
        </w:rPr>
        <w:t>.</w:t>
      </w:r>
    </w:p>
    <w:p w14:paraId="2A248F7E" w14:textId="77777777" w:rsidR="00311819" w:rsidRPr="00182EF9" w:rsidRDefault="00311819">
      <w:pPr>
        <w:pStyle w:val="Naslov3"/>
        <w:ind w:left="720"/>
        <w:jc w:val="both"/>
      </w:pPr>
    </w:p>
    <w:p w14:paraId="2A248F7F" w14:textId="77777777" w:rsidR="00593A7C" w:rsidRPr="00841006" w:rsidRDefault="00445243">
      <w:pPr>
        <w:pStyle w:val="Naslov3"/>
        <w:ind w:left="720"/>
        <w:jc w:val="both"/>
      </w:pPr>
      <w:r w:rsidRPr="00841006">
        <w:t xml:space="preserve">3.2.1. </w:t>
      </w:r>
      <w:r w:rsidRPr="00841006">
        <w:tab/>
        <w:t>Prihodi od poduzetničkih aktivnosti i imovine i prihodi od pozitivnih tečajnih razlika</w:t>
      </w:r>
    </w:p>
    <w:p w14:paraId="2A248F80" w14:textId="2075347E" w:rsidR="00CB4E09" w:rsidRPr="00182EF9" w:rsidRDefault="00445243">
      <w:pPr>
        <w:ind w:firstLine="720"/>
        <w:jc w:val="both"/>
        <w:rPr>
          <w:lang w:val="hr-HR"/>
        </w:rPr>
      </w:pPr>
      <w:r w:rsidRPr="00841006">
        <w:rPr>
          <w:lang w:val="hr-HR"/>
        </w:rPr>
        <w:t xml:space="preserve">Prihodi od poduzetničkih aktivnosti i imovine i prihodi od pozitivnih tečajnih razlika (potkategorija 721000) planirani su u visini od </w:t>
      </w:r>
      <w:r w:rsidR="00C70E6B" w:rsidRPr="00841006">
        <w:rPr>
          <w:lang w:val="hr-HR"/>
        </w:rPr>
        <w:t>128.550</w:t>
      </w:r>
      <w:r w:rsidRPr="00841006">
        <w:rPr>
          <w:lang w:val="hr-HR"/>
        </w:rPr>
        <w:t xml:space="preserve"> KM. Strukturu gore navedenih prihoda čine </w:t>
      </w:r>
      <w:r w:rsidR="00837872" w:rsidRPr="00841006">
        <w:rPr>
          <w:lang w:val="hr-HR"/>
        </w:rPr>
        <w:t xml:space="preserve">prihodi od nefinancijskih javnih poduzeća i financijskih javnih institucija, ostali prihodi od imovine te kamate i dividende primljene od pozajmica i udjela u kapitalu. </w:t>
      </w:r>
      <w:r w:rsidRPr="00841006">
        <w:rPr>
          <w:lang w:val="hr-HR"/>
        </w:rPr>
        <w:t xml:space="preserve">U odnosu na </w:t>
      </w:r>
      <w:r w:rsidR="004B0A97" w:rsidRPr="00841006">
        <w:rPr>
          <w:lang w:val="hr-HR"/>
        </w:rPr>
        <w:t>prethodni</w:t>
      </w:r>
      <w:r w:rsidRPr="00841006">
        <w:rPr>
          <w:lang w:val="hr-HR"/>
        </w:rPr>
        <w:t xml:space="preserve"> plan</w:t>
      </w:r>
      <w:r w:rsidR="00CB4E09" w:rsidRPr="00841006">
        <w:rPr>
          <w:lang w:val="hr-HR"/>
        </w:rPr>
        <w:t>,</w:t>
      </w:r>
      <w:r w:rsidRPr="00841006">
        <w:rPr>
          <w:lang w:val="hr-HR"/>
        </w:rPr>
        <w:t xml:space="preserve"> a sukladno izvršenju za </w:t>
      </w:r>
      <w:r w:rsidR="00CB4E09" w:rsidRPr="00841006">
        <w:rPr>
          <w:lang w:val="hr-HR"/>
        </w:rPr>
        <w:t>razdoblje siječanj-</w:t>
      </w:r>
      <w:r w:rsidR="00C70E6B" w:rsidRPr="00841006">
        <w:rPr>
          <w:lang w:val="hr-HR"/>
        </w:rPr>
        <w:t>listopad</w:t>
      </w:r>
      <w:r w:rsidRPr="00841006">
        <w:rPr>
          <w:lang w:val="hr-HR"/>
        </w:rPr>
        <w:t xml:space="preserve"> </w:t>
      </w:r>
      <w:r w:rsidR="00C70E6B" w:rsidRPr="00841006">
        <w:rPr>
          <w:lang w:val="hr-HR"/>
        </w:rPr>
        <w:t>2024</w:t>
      </w:r>
      <w:r w:rsidRPr="00841006">
        <w:rPr>
          <w:lang w:val="hr-HR"/>
        </w:rPr>
        <w:t xml:space="preserve">. godine ovi prihodi su </w:t>
      </w:r>
      <w:r w:rsidR="00C70E6B" w:rsidRPr="00841006">
        <w:rPr>
          <w:lang w:val="hr-HR"/>
        </w:rPr>
        <w:t>smanjeni</w:t>
      </w:r>
      <w:r w:rsidR="00690659" w:rsidRPr="00841006">
        <w:rPr>
          <w:lang w:val="hr-HR"/>
        </w:rPr>
        <w:t xml:space="preserve"> </w:t>
      </w:r>
      <w:r w:rsidRPr="00841006">
        <w:rPr>
          <w:lang w:val="hr-HR"/>
        </w:rPr>
        <w:t>za</w:t>
      </w:r>
      <w:r w:rsidRPr="00182EF9">
        <w:rPr>
          <w:lang w:val="hr-HR"/>
        </w:rPr>
        <w:t xml:space="preserve"> </w:t>
      </w:r>
      <w:r w:rsidR="009E21EE">
        <w:rPr>
          <w:lang w:val="hr-HR"/>
        </w:rPr>
        <w:t>31,11</w:t>
      </w:r>
      <w:r w:rsidR="001E49B4" w:rsidRPr="00182EF9">
        <w:rPr>
          <w:lang w:val="hr-HR"/>
        </w:rPr>
        <w:t>%</w:t>
      </w:r>
      <w:r w:rsidR="00621B66" w:rsidRPr="00182EF9">
        <w:rPr>
          <w:lang w:val="hr-HR"/>
        </w:rPr>
        <w:t>,</w:t>
      </w:r>
      <w:r w:rsidR="001E49B4" w:rsidRPr="00182EF9">
        <w:rPr>
          <w:lang w:val="hr-HR"/>
        </w:rPr>
        <w:t xml:space="preserve"> </w:t>
      </w:r>
      <w:r w:rsidR="00690659" w:rsidRPr="00182EF9">
        <w:rPr>
          <w:lang w:val="hr-HR"/>
        </w:rPr>
        <w:t>odnosno</w:t>
      </w:r>
      <w:r w:rsidR="001E49B4" w:rsidRPr="00182EF9">
        <w:rPr>
          <w:lang w:val="hr-HR"/>
        </w:rPr>
        <w:t xml:space="preserve"> </w:t>
      </w:r>
      <w:r w:rsidR="009E21EE">
        <w:rPr>
          <w:lang w:val="hr-HR"/>
        </w:rPr>
        <w:t>smanjeni</w:t>
      </w:r>
      <w:r w:rsidR="008C7E3B" w:rsidRPr="00182EF9">
        <w:rPr>
          <w:lang w:val="hr-HR"/>
        </w:rPr>
        <w:t xml:space="preserve"> </w:t>
      </w:r>
      <w:r w:rsidR="001E49B4" w:rsidRPr="00182EF9">
        <w:rPr>
          <w:lang w:val="hr-HR"/>
        </w:rPr>
        <w:t xml:space="preserve">za </w:t>
      </w:r>
      <w:r w:rsidR="00841006">
        <w:rPr>
          <w:lang w:val="hr-HR"/>
        </w:rPr>
        <w:t>58.050</w:t>
      </w:r>
      <w:r w:rsidRPr="00182EF9">
        <w:rPr>
          <w:lang w:val="hr-HR"/>
        </w:rPr>
        <w:t xml:space="preserve"> KM. </w:t>
      </w:r>
    </w:p>
    <w:p w14:paraId="2A248F81" w14:textId="77777777" w:rsidR="00617956" w:rsidRPr="00182EF9" w:rsidRDefault="00617956">
      <w:pPr>
        <w:pStyle w:val="Naslov3"/>
        <w:ind w:firstLine="720"/>
        <w:jc w:val="both"/>
      </w:pPr>
    </w:p>
    <w:p w14:paraId="2A248F82" w14:textId="77777777" w:rsidR="00593A7C" w:rsidRPr="00182EF9" w:rsidRDefault="00445243">
      <w:pPr>
        <w:pStyle w:val="Naslov3"/>
        <w:ind w:firstLine="720"/>
        <w:jc w:val="both"/>
      </w:pPr>
      <w:r w:rsidRPr="00182EF9">
        <w:t xml:space="preserve">3.2.2. </w:t>
      </w:r>
      <w:r w:rsidRPr="00182EF9">
        <w:tab/>
        <w:t>Naknade i pristojbe i prihodi od pružanja javnih usluga</w:t>
      </w:r>
    </w:p>
    <w:p w14:paraId="2A248F83" w14:textId="4D6AE3EB" w:rsidR="00593A7C" w:rsidRPr="00182EF9" w:rsidRDefault="00690659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Predmetnim </w:t>
      </w:r>
      <w:r w:rsidR="00E873E7" w:rsidRPr="00182EF9">
        <w:rPr>
          <w:lang w:val="hr-HR"/>
        </w:rPr>
        <w:t>Izmjenama i dopunama</w:t>
      </w:r>
      <w:r w:rsidR="00445243" w:rsidRPr="00182EF9">
        <w:rPr>
          <w:lang w:val="hr-HR"/>
        </w:rPr>
        <w:t xml:space="preserve"> </w:t>
      </w:r>
      <w:r w:rsidR="00A73C16" w:rsidRPr="00182EF9">
        <w:rPr>
          <w:lang w:val="hr-HR"/>
        </w:rPr>
        <w:t xml:space="preserve">za </w:t>
      </w:r>
      <w:r w:rsidR="00841006">
        <w:rPr>
          <w:lang w:val="hr-HR"/>
        </w:rPr>
        <w:t>2024</w:t>
      </w:r>
      <w:r w:rsidR="00A73C16" w:rsidRPr="00182EF9">
        <w:rPr>
          <w:lang w:val="hr-HR"/>
        </w:rPr>
        <w:t xml:space="preserve">. godinu </w:t>
      </w:r>
      <w:r w:rsidR="00445243" w:rsidRPr="00182EF9">
        <w:rPr>
          <w:lang w:val="hr-HR"/>
        </w:rPr>
        <w:t>planirani</w:t>
      </w:r>
      <w:r w:rsidR="00FD3CC1" w:rsidRPr="00182EF9">
        <w:rPr>
          <w:lang w:val="hr-HR"/>
        </w:rPr>
        <w:t xml:space="preserve"> </w:t>
      </w:r>
      <w:r w:rsidR="00445243" w:rsidRPr="00182EF9">
        <w:rPr>
          <w:lang w:val="hr-HR"/>
        </w:rPr>
        <w:t xml:space="preserve">prihodi od naknada i pristojbi i prihodi od pružanja javnih usluga (potkategorija 722000) iznose </w:t>
      </w:r>
      <w:r w:rsidR="002E34F1">
        <w:rPr>
          <w:lang w:val="hr-HR"/>
        </w:rPr>
        <w:t>2.809.074</w:t>
      </w:r>
      <w:r w:rsidR="00445243" w:rsidRPr="00182EF9">
        <w:rPr>
          <w:lang w:val="hr-HR"/>
        </w:rPr>
        <w:t xml:space="preserve"> KM, što predstavlja </w:t>
      </w:r>
      <w:r w:rsidRPr="00182EF9">
        <w:rPr>
          <w:lang w:val="hr-HR"/>
        </w:rPr>
        <w:t>smanjenje</w:t>
      </w:r>
      <w:r w:rsidR="00445243" w:rsidRPr="00182EF9">
        <w:rPr>
          <w:lang w:val="hr-HR"/>
        </w:rPr>
        <w:t xml:space="preserve"> od </w:t>
      </w:r>
      <w:r w:rsidR="002E34F1">
        <w:rPr>
          <w:lang w:val="hr-HR"/>
        </w:rPr>
        <w:t>2,31</w:t>
      </w:r>
      <w:r w:rsidR="00445243" w:rsidRPr="00182EF9">
        <w:rPr>
          <w:lang w:val="hr-HR"/>
        </w:rPr>
        <w:t xml:space="preserve">% u odnosu na </w:t>
      </w:r>
      <w:r w:rsidR="004B0A97" w:rsidRPr="00182EF9">
        <w:rPr>
          <w:lang w:val="hr-HR"/>
        </w:rPr>
        <w:t>prethodni</w:t>
      </w:r>
      <w:r w:rsidR="00445243" w:rsidRPr="00182EF9">
        <w:rPr>
          <w:lang w:val="hr-HR"/>
        </w:rPr>
        <w:t xml:space="preserve"> plan</w:t>
      </w:r>
      <w:r w:rsidR="00F94EE3" w:rsidRPr="00182EF9">
        <w:rPr>
          <w:lang w:val="hr-HR"/>
        </w:rPr>
        <w:t xml:space="preserve">, odnosno </w:t>
      </w:r>
      <w:r w:rsidRPr="00182EF9">
        <w:rPr>
          <w:lang w:val="hr-HR"/>
        </w:rPr>
        <w:t>smanjenje</w:t>
      </w:r>
      <w:r w:rsidR="00F94EE3" w:rsidRPr="00182EF9">
        <w:rPr>
          <w:lang w:val="hr-HR"/>
        </w:rPr>
        <w:t xml:space="preserve"> za </w:t>
      </w:r>
      <w:r w:rsidR="00DD72A2">
        <w:rPr>
          <w:lang w:val="hr-HR"/>
        </w:rPr>
        <w:t>66.486</w:t>
      </w:r>
      <w:r w:rsidR="00F94EE3" w:rsidRPr="00182EF9">
        <w:rPr>
          <w:lang w:val="hr-HR"/>
        </w:rPr>
        <w:t xml:space="preserve"> KM.</w:t>
      </w:r>
    </w:p>
    <w:p w14:paraId="2A248F84" w14:textId="07F40AD7" w:rsidR="00F94EE3" w:rsidRPr="00182EF9" w:rsidRDefault="00445243">
      <w:pPr>
        <w:ind w:firstLine="720"/>
        <w:jc w:val="both"/>
        <w:rPr>
          <w:lang w:val="hr-HR"/>
        </w:rPr>
      </w:pPr>
      <w:r w:rsidRPr="00182EF9">
        <w:rPr>
          <w:b/>
          <w:i/>
          <w:lang w:val="hr-HR"/>
        </w:rPr>
        <w:t>Prih</w:t>
      </w:r>
      <w:r w:rsidR="00F94EE3" w:rsidRPr="00182EF9">
        <w:rPr>
          <w:b/>
          <w:i/>
          <w:lang w:val="hr-HR"/>
        </w:rPr>
        <w:t>odi po osnovi administrativnih pristojbi (glavna skupina 722100)</w:t>
      </w:r>
      <w:r w:rsidR="00F94EE3" w:rsidRPr="00182EF9">
        <w:rPr>
          <w:lang w:val="hr-HR"/>
        </w:rPr>
        <w:t xml:space="preserve"> planirani su u iznosu od </w:t>
      </w:r>
      <w:r w:rsidR="00DD72A2">
        <w:rPr>
          <w:lang w:val="hr-HR"/>
        </w:rPr>
        <w:t>159.890</w:t>
      </w:r>
      <w:r w:rsidR="00F94EE3" w:rsidRPr="00182EF9">
        <w:rPr>
          <w:lang w:val="hr-HR"/>
        </w:rPr>
        <w:t xml:space="preserve"> KM, što predstavlja </w:t>
      </w:r>
      <w:r w:rsidR="008C7E3B" w:rsidRPr="00182EF9">
        <w:rPr>
          <w:lang w:val="hr-HR"/>
        </w:rPr>
        <w:t>povećanje</w:t>
      </w:r>
      <w:r w:rsidR="00F94EE3" w:rsidRPr="00182EF9">
        <w:rPr>
          <w:lang w:val="hr-HR"/>
        </w:rPr>
        <w:t xml:space="preserve"> u odnosu na </w:t>
      </w:r>
      <w:r w:rsidR="00F17335" w:rsidRPr="00182EF9">
        <w:rPr>
          <w:lang w:val="hr-HR"/>
        </w:rPr>
        <w:t>prethodni</w:t>
      </w:r>
      <w:r w:rsidR="00F94EE3" w:rsidRPr="00182EF9">
        <w:rPr>
          <w:lang w:val="hr-HR"/>
        </w:rPr>
        <w:t xml:space="preserve"> plan za </w:t>
      </w:r>
      <w:r w:rsidR="00DD72A2">
        <w:rPr>
          <w:lang w:val="hr-HR"/>
        </w:rPr>
        <w:t>0,31</w:t>
      </w:r>
      <w:r w:rsidR="00F94EE3" w:rsidRPr="00182EF9">
        <w:rPr>
          <w:lang w:val="hr-HR"/>
        </w:rPr>
        <w:t>%</w:t>
      </w:r>
      <w:r w:rsidR="00621B66" w:rsidRPr="00182EF9">
        <w:rPr>
          <w:lang w:val="hr-HR"/>
        </w:rPr>
        <w:t>,</w:t>
      </w:r>
      <w:r w:rsidR="00F94EE3" w:rsidRPr="00182EF9">
        <w:rPr>
          <w:lang w:val="hr-HR"/>
        </w:rPr>
        <w:t xml:space="preserve"> ili </w:t>
      </w:r>
      <w:r w:rsidR="008C7E3B" w:rsidRPr="00182EF9">
        <w:rPr>
          <w:lang w:val="hr-HR"/>
        </w:rPr>
        <w:t>povećanje</w:t>
      </w:r>
      <w:r w:rsidR="00FD3CC1" w:rsidRPr="00182EF9">
        <w:rPr>
          <w:lang w:val="hr-HR"/>
        </w:rPr>
        <w:t xml:space="preserve"> </w:t>
      </w:r>
      <w:r w:rsidR="00F94EE3" w:rsidRPr="00182EF9">
        <w:rPr>
          <w:lang w:val="hr-HR"/>
        </w:rPr>
        <w:t xml:space="preserve">za </w:t>
      </w:r>
      <w:r w:rsidR="00DD72A2">
        <w:rPr>
          <w:lang w:val="hr-HR"/>
        </w:rPr>
        <w:t>490</w:t>
      </w:r>
      <w:r w:rsidR="00F94EE3" w:rsidRPr="00182EF9">
        <w:rPr>
          <w:lang w:val="hr-HR"/>
        </w:rPr>
        <w:t xml:space="preserve"> KM. </w:t>
      </w:r>
      <w:r w:rsidR="00DD72A2">
        <w:rPr>
          <w:lang w:val="hr-HR"/>
        </w:rPr>
        <w:t>Povećanje</w:t>
      </w:r>
      <w:r w:rsidR="00F94EE3" w:rsidRPr="00182EF9">
        <w:rPr>
          <w:lang w:val="hr-HR"/>
        </w:rPr>
        <w:t xml:space="preserve"> je </w:t>
      </w:r>
      <w:r w:rsidR="00385A57">
        <w:rPr>
          <w:lang w:val="hr-HR"/>
        </w:rPr>
        <w:t>utvrđeno</w:t>
      </w:r>
      <w:r w:rsidR="00F94EE3" w:rsidRPr="00182EF9">
        <w:rPr>
          <w:lang w:val="hr-HR"/>
        </w:rPr>
        <w:t xml:space="preserve"> na osnovi analize izvršenja ovih prihoda u </w:t>
      </w:r>
      <w:r w:rsidR="00FD3CC1" w:rsidRPr="00182EF9">
        <w:rPr>
          <w:lang w:val="hr-HR"/>
        </w:rPr>
        <w:t>razdoblju siječanj-</w:t>
      </w:r>
      <w:r w:rsidR="00385A57">
        <w:rPr>
          <w:lang w:val="hr-HR"/>
        </w:rPr>
        <w:t>listopad</w:t>
      </w:r>
      <w:r w:rsidR="00FD3CC1" w:rsidRPr="00182EF9">
        <w:rPr>
          <w:lang w:val="hr-HR"/>
        </w:rPr>
        <w:t xml:space="preserve"> </w:t>
      </w:r>
      <w:r w:rsidR="00385A57">
        <w:rPr>
          <w:lang w:val="hr-HR"/>
        </w:rPr>
        <w:t>2024</w:t>
      </w:r>
      <w:r w:rsidR="00F94EE3" w:rsidRPr="00182EF9">
        <w:rPr>
          <w:lang w:val="hr-HR"/>
        </w:rPr>
        <w:t>. godine.</w:t>
      </w:r>
    </w:p>
    <w:p w14:paraId="2A248F85" w14:textId="51F1F3D7" w:rsidR="00F94EE3" w:rsidRPr="00182EF9" w:rsidRDefault="00F94EE3">
      <w:pPr>
        <w:ind w:firstLine="720"/>
        <w:jc w:val="both"/>
        <w:rPr>
          <w:lang w:val="hr-HR"/>
        </w:rPr>
      </w:pPr>
      <w:r w:rsidRPr="00182EF9">
        <w:rPr>
          <w:b/>
          <w:i/>
          <w:lang w:val="hr-HR"/>
        </w:rPr>
        <w:t xml:space="preserve">Prihodi po osnovi </w:t>
      </w:r>
      <w:r w:rsidR="00445243" w:rsidRPr="00182EF9">
        <w:rPr>
          <w:b/>
          <w:i/>
          <w:lang w:val="hr-HR"/>
        </w:rPr>
        <w:t xml:space="preserve">sudskih </w:t>
      </w:r>
      <w:r w:rsidRPr="00182EF9">
        <w:rPr>
          <w:b/>
          <w:i/>
          <w:lang w:val="hr-HR"/>
        </w:rPr>
        <w:t>pristojbi (glavna skupina 722200)</w:t>
      </w:r>
      <w:r w:rsidRPr="00182EF9">
        <w:rPr>
          <w:lang w:val="hr-HR"/>
        </w:rPr>
        <w:t xml:space="preserve"> </w:t>
      </w:r>
      <w:r w:rsidR="00690659" w:rsidRPr="00182EF9">
        <w:rPr>
          <w:lang w:val="hr-HR"/>
        </w:rPr>
        <w:t>smanjeni</w:t>
      </w:r>
      <w:r w:rsidR="00E873E7" w:rsidRPr="00182EF9">
        <w:rPr>
          <w:lang w:val="hr-HR"/>
        </w:rPr>
        <w:t xml:space="preserve"> su</w:t>
      </w:r>
      <w:r w:rsidR="00417ED5" w:rsidRPr="00182EF9">
        <w:rPr>
          <w:lang w:val="hr-HR"/>
        </w:rPr>
        <w:t xml:space="preserve"> na </w:t>
      </w:r>
      <w:r w:rsidR="00385A57">
        <w:rPr>
          <w:lang w:val="hr-HR"/>
        </w:rPr>
        <w:t>386.460</w:t>
      </w:r>
      <w:r w:rsidR="00417ED5" w:rsidRPr="00182EF9">
        <w:rPr>
          <w:lang w:val="hr-HR"/>
        </w:rPr>
        <w:t xml:space="preserve"> KM, odnosno </w:t>
      </w:r>
      <w:r w:rsidR="00690659" w:rsidRPr="00182EF9">
        <w:rPr>
          <w:lang w:val="hr-HR"/>
        </w:rPr>
        <w:t>smanjeni</w:t>
      </w:r>
      <w:r w:rsidRPr="00182EF9">
        <w:rPr>
          <w:lang w:val="hr-HR"/>
        </w:rPr>
        <w:t xml:space="preserve"> za </w:t>
      </w:r>
      <w:r w:rsidR="001176A2">
        <w:rPr>
          <w:lang w:val="hr-HR"/>
        </w:rPr>
        <w:t>2,38</w:t>
      </w:r>
      <w:r w:rsidRPr="00182EF9">
        <w:rPr>
          <w:lang w:val="hr-HR"/>
        </w:rPr>
        <w:t>%</w:t>
      </w:r>
      <w:r w:rsidR="00621B66" w:rsidRPr="00182EF9">
        <w:rPr>
          <w:lang w:val="hr-HR"/>
        </w:rPr>
        <w:t>,</w:t>
      </w:r>
      <w:r w:rsidRPr="00182EF9">
        <w:rPr>
          <w:lang w:val="hr-HR"/>
        </w:rPr>
        <w:t xml:space="preserve"> ili u apsolutnom iznosu za </w:t>
      </w:r>
      <w:r w:rsidR="001176A2">
        <w:rPr>
          <w:lang w:val="hr-HR"/>
        </w:rPr>
        <w:t>9.420</w:t>
      </w:r>
      <w:r w:rsidRPr="00182EF9">
        <w:rPr>
          <w:lang w:val="hr-HR"/>
        </w:rPr>
        <w:t xml:space="preserve"> KM. </w:t>
      </w:r>
      <w:r w:rsidR="00690659" w:rsidRPr="00182EF9">
        <w:rPr>
          <w:lang w:val="hr-HR"/>
        </w:rPr>
        <w:t>Smanjenje</w:t>
      </w:r>
      <w:r w:rsidRPr="00182EF9">
        <w:rPr>
          <w:lang w:val="hr-HR"/>
        </w:rPr>
        <w:t xml:space="preserve"> se zasniva na kretanju prihoda po osnovi sudskih pristojbi u razdoblju siječanj-</w:t>
      </w:r>
      <w:r w:rsidR="00A32D85">
        <w:rPr>
          <w:lang w:val="hr-HR"/>
        </w:rPr>
        <w:t>listopad</w:t>
      </w:r>
      <w:r w:rsidRPr="00182EF9">
        <w:rPr>
          <w:lang w:val="hr-HR"/>
        </w:rPr>
        <w:t xml:space="preserve"> </w:t>
      </w:r>
      <w:r w:rsidR="008C7E3B" w:rsidRPr="00182EF9">
        <w:rPr>
          <w:lang w:val="hr-HR"/>
        </w:rPr>
        <w:t>202</w:t>
      </w:r>
      <w:r w:rsidR="00A32D85">
        <w:rPr>
          <w:lang w:val="hr-HR"/>
        </w:rPr>
        <w:t>4</w:t>
      </w:r>
      <w:r w:rsidRPr="00182EF9">
        <w:rPr>
          <w:lang w:val="hr-HR"/>
        </w:rPr>
        <w:t xml:space="preserve">. godine i </w:t>
      </w:r>
      <w:r w:rsidR="00621B66" w:rsidRPr="00182EF9">
        <w:rPr>
          <w:lang w:val="hr-HR"/>
        </w:rPr>
        <w:t xml:space="preserve">procjeni njihovog mogućeg kretanja </w:t>
      </w:r>
      <w:r w:rsidR="00F17335" w:rsidRPr="00182EF9">
        <w:rPr>
          <w:lang w:val="hr-HR"/>
        </w:rPr>
        <w:t xml:space="preserve">do konca </w:t>
      </w:r>
      <w:r w:rsidR="005C298B">
        <w:rPr>
          <w:lang w:val="hr-HR"/>
        </w:rPr>
        <w:t>2024</w:t>
      </w:r>
      <w:r w:rsidR="00F17335" w:rsidRPr="00182EF9">
        <w:rPr>
          <w:lang w:val="hr-HR"/>
        </w:rPr>
        <w:t>. godine</w:t>
      </w:r>
      <w:r w:rsidRPr="00182EF9">
        <w:rPr>
          <w:lang w:val="hr-HR"/>
        </w:rPr>
        <w:t>.</w:t>
      </w:r>
    </w:p>
    <w:p w14:paraId="2A248F86" w14:textId="471485D1" w:rsidR="00A855BF" w:rsidRPr="00182EF9" w:rsidRDefault="00F94EE3" w:rsidP="001B6A8D">
      <w:pPr>
        <w:ind w:firstLine="720"/>
        <w:jc w:val="both"/>
        <w:rPr>
          <w:lang w:val="hr-HR"/>
        </w:rPr>
      </w:pPr>
      <w:r w:rsidRPr="00182EF9">
        <w:rPr>
          <w:b/>
          <w:i/>
          <w:lang w:val="hr-HR"/>
        </w:rPr>
        <w:lastRenderedPageBreak/>
        <w:t>Prihodi po osnovi</w:t>
      </w:r>
      <w:r w:rsidR="00445243" w:rsidRPr="00182EF9">
        <w:rPr>
          <w:b/>
          <w:i/>
          <w:lang w:val="hr-HR"/>
        </w:rPr>
        <w:t xml:space="preserve"> ostali</w:t>
      </w:r>
      <w:r w:rsidRPr="00182EF9">
        <w:rPr>
          <w:b/>
          <w:i/>
          <w:lang w:val="hr-HR"/>
        </w:rPr>
        <w:t>h proračunskih naknada (glavna</w:t>
      </w:r>
      <w:r w:rsidR="00445243" w:rsidRPr="00182EF9">
        <w:rPr>
          <w:b/>
          <w:i/>
          <w:lang w:val="hr-HR"/>
        </w:rPr>
        <w:t xml:space="preserve"> skupin</w:t>
      </w:r>
      <w:r w:rsidRPr="00182EF9">
        <w:rPr>
          <w:b/>
          <w:i/>
          <w:lang w:val="hr-HR"/>
        </w:rPr>
        <w:t>a</w:t>
      </w:r>
      <w:r w:rsidR="00445243" w:rsidRPr="00182EF9">
        <w:rPr>
          <w:b/>
          <w:i/>
          <w:lang w:val="hr-HR"/>
        </w:rPr>
        <w:t xml:space="preserve"> 722400)</w:t>
      </w:r>
      <w:r w:rsidR="00445243" w:rsidRPr="00182EF9">
        <w:rPr>
          <w:lang w:val="hr-HR"/>
        </w:rPr>
        <w:t xml:space="preserve"> planirani su u visini od </w:t>
      </w:r>
      <w:r w:rsidR="005C298B">
        <w:rPr>
          <w:lang w:val="hr-HR"/>
        </w:rPr>
        <w:t>438.980</w:t>
      </w:r>
      <w:r w:rsidR="00445243" w:rsidRPr="00182EF9">
        <w:rPr>
          <w:lang w:val="hr-HR"/>
        </w:rPr>
        <w:t xml:space="preserve"> KM</w:t>
      </w:r>
      <w:r w:rsidR="00F17335" w:rsidRPr="00182EF9">
        <w:rPr>
          <w:lang w:val="hr-HR"/>
        </w:rPr>
        <w:t>.</w:t>
      </w:r>
      <w:r w:rsidR="00445243" w:rsidRPr="00182EF9">
        <w:rPr>
          <w:lang w:val="hr-HR"/>
        </w:rPr>
        <w:t xml:space="preserve"> </w:t>
      </w:r>
      <w:r w:rsidR="00F17335" w:rsidRPr="00182EF9">
        <w:rPr>
          <w:lang w:val="hr-HR"/>
        </w:rPr>
        <w:t>Prethodni</w:t>
      </w:r>
      <w:r w:rsidR="00445243" w:rsidRPr="00182EF9">
        <w:rPr>
          <w:lang w:val="hr-HR"/>
        </w:rPr>
        <w:t xml:space="preserve"> plan </w:t>
      </w:r>
      <w:r w:rsidR="00621B66" w:rsidRPr="00182EF9">
        <w:rPr>
          <w:lang w:val="hr-HR"/>
        </w:rPr>
        <w:t xml:space="preserve">iznosio je </w:t>
      </w:r>
      <w:r w:rsidR="005C298B">
        <w:rPr>
          <w:lang w:val="hr-HR"/>
        </w:rPr>
        <w:t>463</w:t>
      </w:r>
      <w:r w:rsidR="008C7E3B" w:rsidRPr="00182EF9">
        <w:rPr>
          <w:lang w:val="hr-HR"/>
        </w:rPr>
        <w:t>.</w:t>
      </w:r>
      <w:r w:rsidR="003F42A6">
        <w:rPr>
          <w:lang w:val="hr-HR"/>
        </w:rPr>
        <w:t>88</w:t>
      </w:r>
      <w:r w:rsidR="008C7E3B" w:rsidRPr="00182EF9">
        <w:rPr>
          <w:lang w:val="hr-HR"/>
        </w:rPr>
        <w:t>0</w:t>
      </w:r>
      <w:r w:rsidR="00445243" w:rsidRPr="00182EF9">
        <w:rPr>
          <w:lang w:val="hr-HR"/>
        </w:rPr>
        <w:t xml:space="preserve"> KM</w:t>
      </w:r>
      <w:r w:rsidR="00C95AFB" w:rsidRPr="00182EF9">
        <w:rPr>
          <w:lang w:val="hr-HR"/>
        </w:rPr>
        <w:t xml:space="preserve">, </w:t>
      </w:r>
      <w:r w:rsidR="00621B66" w:rsidRPr="00182EF9">
        <w:rPr>
          <w:lang w:val="hr-HR"/>
        </w:rPr>
        <w:t xml:space="preserve">što predstavlja </w:t>
      </w:r>
      <w:r w:rsidR="003F42A6">
        <w:rPr>
          <w:lang w:val="hr-HR"/>
        </w:rPr>
        <w:t>smanjenje</w:t>
      </w:r>
      <w:r w:rsidR="00C95AFB" w:rsidRPr="00182EF9">
        <w:rPr>
          <w:lang w:val="hr-HR"/>
        </w:rPr>
        <w:t xml:space="preserve"> za </w:t>
      </w:r>
      <w:r w:rsidR="003F42A6">
        <w:rPr>
          <w:lang w:val="hr-HR"/>
        </w:rPr>
        <w:t>5,37</w:t>
      </w:r>
      <w:r w:rsidR="00C95AFB" w:rsidRPr="00182EF9">
        <w:rPr>
          <w:lang w:val="hr-HR"/>
        </w:rPr>
        <w:t>%</w:t>
      </w:r>
      <w:r w:rsidR="00621B66" w:rsidRPr="00182EF9">
        <w:rPr>
          <w:lang w:val="hr-HR"/>
        </w:rPr>
        <w:t xml:space="preserve">, ili </w:t>
      </w:r>
      <w:r w:rsidR="00690659" w:rsidRPr="00182EF9">
        <w:rPr>
          <w:lang w:val="hr-HR"/>
        </w:rPr>
        <w:t>smanjenje</w:t>
      </w:r>
      <w:r w:rsidR="00621B66" w:rsidRPr="00182EF9">
        <w:rPr>
          <w:lang w:val="hr-HR"/>
        </w:rPr>
        <w:t xml:space="preserve"> za </w:t>
      </w:r>
      <w:r w:rsidR="00290954">
        <w:rPr>
          <w:lang w:val="hr-HR"/>
        </w:rPr>
        <w:t>24.900</w:t>
      </w:r>
      <w:r w:rsidR="00621B66" w:rsidRPr="00182EF9">
        <w:rPr>
          <w:lang w:val="hr-HR"/>
        </w:rPr>
        <w:t xml:space="preserve"> KM. Plan navedenih prihoda usklađen je s njihovom p</w:t>
      </w:r>
      <w:r w:rsidR="00E873E7" w:rsidRPr="00182EF9">
        <w:rPr>
          <w:lang w:val="hr-HR"/>
        </w:rPr>
        <w:t>laniranom namjenskom potrošnjom</w:t>
      </w:r>
      <w:r w:rsidR="00621B66" w:rsidRPr="00182EF9">
        <w:rPr>
          <w:lang w:val="hr-HR"/>
        </w:rPr>
        <w:t>.</w:t>
      </w:r>
      <w:r w:rsidR="006524E9">
        <w:rPr>
          <w:lang w:val="hr-HR"/>
        </w:rPr>
        <w:t xml:space="preserve"> </w:t>
      </w:r>
      <w:r w:rsidR="006524E9" w:rsidRPr="00182EF9">
        <w:rPr>
          <w:lang w:val="hr-HR"/>
        </w:rPr>
        <w:t xml:space="preserve">U planu su iskazani i prihodi </w:t>
      </w:r>
      <w:r w:rsidR="006524E9">
        <w:rPr>
          <w:lang w:val="hr-HR"/>
        </w:rPr>
        <w:t>od naknada</w:t>
      </w:r>
      <w:r w:rsidR="00FC54F6">
        <w:rPr>
          <w:lang w:val="hr-HR"/>
        </w:rPr>
        <w:t xml:space="preserve"> za opće korisne funkcije šuma utvrđene županijskim propisima (</w:t>
      </w:r>
      <w:r w:rsidR="00A1516A">
        <w:rPr>
          <w:lang w:val="hr-HR"/>
        </w:rPr>
        <w:t xml:space="preserve">analitički konto 722471) u iznosu od </w:t>
      </w:r>
      <w:r w:rsidR="001B6A8D">
        <w:rPr>
          <w:lang w:val="hr-HR"/>
        </w:rPr>
        <w:t xml:space="preserve">40.860 KM, a koji su </w:t>
      </w:r>
      <w:r w:rsidR="00A1516A">
        <w:rPr>
          <w:lang w:val="hr-HR"/>
        </w:rPr>
        <w:t>r</w:t>
      </w:r>
      <w:r w:rsidR="006524E9" w:rsidRPr="00182EF9">
        <w:rPr>
          <w:lang w:val="hr-HR"/>
        </w:rPr>
        <w:t xml:space="preserve">azgraničeni na </w:t>
      </w:r>
      <w:r w:rsidR="00A1516A">
        <w:rPr>
          <w:lang w:val="hr-HR"/>
        </w:rPr>
        <w:t xml:space="preserve">dan </w:t>
      </w:r>
      <w:r w:rsidR="006524E9" w:rsidRPr="00182EF9">
        <w:rPr>
          <w:lang w:val="hr-HR"/>
        </w:rPr>
        <w:t>31.12.</w:t>
      </w:r>
      <w:r w:rsidR="006524E9">
        <w:rPr>
          <w:lang w:val="hr-HR"/>
        </w:rPr>
        <w:t>2023</w:t>
      </w:r>
      <w:r w:rsidR="006524E9" w:rsidRPr="00182EF9">
        <w:rPr>
          <w:lang w:val="hr-HR"/>
        </w:rPr>
        <w:t>. godine</w:t>
      </w:r>
      <w:r w:rsidR="004D6056">
        <w:rPr>
          <w:lang w:val="hr-HR"/>
        </w:rPr>
        <w:t xml:space="preserve"> za uporabu u budućim razdobljima.</w:t>
      </w:r>
    </w:p>
    <w:p w14:paraId="2A248F87" w14:textId="0404CBEC" w:rsidR="005070BF" w:rsidRPr="00182EF9" w:rsidRDefault="00445243">
      <w:pPr>
        <w:ind w:firstLine="720"/>
        <w:jc w:val="both"/>
        <w:rPr>
          <w:lang w:val="hr-HR"/>
        </w:rPr>
      </w:pPr>
      <w:r w:rsidRPr="00182EF9">
        <w:rPr>
          <w:b/>
          <w:i/>
          <w:lang w:val="hr-HR"/>
        </w:rPr>
        <w:t>Naknade i pristojbe po Federalnim zakonima i drugim propisima (glavna skupina 722500)</w:t>
      </w:r>
      <w:r w:rsidRPr="00182EF9">
        <w:rPr>
          <w:lang w:val="hr-HR"/>
        </w:rPr>
        <w:t xml:space="preserve"> planirane su u visini od </w:t>
      </w:r>
      <w:r w:rsidR="008B52AC">
        <w:rPr>
          <w:lang w:val="hr-HR"/>
        </w:rPr>
        <w:t>1.259.664</w:t>
      </w:r>
      <w:r w:rsidRPr="00182EF9">
        <w:rPr>
          <w:lang w:val="hr-HR"/>
        </w:rPr>
        <w:t xml:space="preserve"> KM (</w:t>
      </w:r>
      <w:r w:rsidR="00A418AB" w:rsidRPr="00182EF9">
        <w:rPr>
          <w:lang w:val="hr-HR"/>
        </w:rPr>
        <w:t>prethodni</w:t>
      </w:r>
      <w:r w:rsidRPr="00182EF9">
        <w:rPr>
          <w:lang w:val="hr-HR"/>
        </w:rPr>
        <w:t xml:space="preserve"> plan </w:t>
      </w:r>
      <w:r w:rsidR="004B253E">
        <w:rPr>
          <w:lang w:val="hr-HR"/>
        </w:rPr>
        <w:t>1.322.690</w:t>
      </w:r>
      <w:r w:rsidRPr="00182EF9">
        <w:rPr>
          <w:lang w:val="hr-HR"/>
        </w:rPr>
        <w:t xml:space="preserve"> KM),</w:t>
      </w:r>
      <w:r w:rsidR="0093695F" w:rsidRPr="00182EF9">
        <w:rPr>
          <w:lang w:val="hr-HR"/>
        </w:rPr>
        <w:t xml:space="preserve"> što znači da su </w:t>
      </w:r>
      <w:r w:rsidR="00690659" w:rsidRPr="00182EF9">
        <w:rPr>
          <w:lang w:val="hr-HR"/>
        </w:rPr>
        <w:t>smanjene</w:t>
      </w:r>
      <w:r w:rsidR="0093695F" w:rsidRPr="00182EF9">
        <w:rPr>
          <w:lang w:val="hr-HR"/>
        </w:rPr>
        <w:t xml:space="preserve"> za </w:t>
      </w:r>
      <w:r w:rsidR="004B253E">
        <w:rPr>
          <w:lang w:val="hr-HR"/>
        </w:rPr>
        <w:t>4,76</w:t>
      </w:r>
      <w:r w:rsidR="0093695F" w:rsidRPr="00182EF9">
        <w:rPr>
          <w:lang w:val="hr-HR"/>
        </w:rPr>
        <w:t>%</w:t>
      </w:r>
      <w:r w:rsidR="00CD2EA4" w:rsidRPr="00182EF9">
        <w:rPr>
          <w:lang w:val="hr-HR"/>
        </w:rPr>
        <w:t>,</w:t>
      </w:r>
      <w:r w:rsidR="0093695F" w:rsidRPr="00182EF9">
        <w:rPr>
          <w:lang w:val="hr-HR"/>
        </w:rPr>
        <w:t xml:space="preserve"> odnosno za </w:t>
      </w:r>
      <w:r w:rsidR="004B253E">
        <w:rPr>
          <w:lang w:val="hr-HR"/>
        </w:rPr>
        <w:t>63.026</w:t>
      </w:r>
      <w:r w:rsidR="005070BF" w:rsidRPr="00182EF9">
        <w:rPr>
          <w:lang w:val="hr-HR"/>
        </w:rPr>
        <w:t xml:space="preserve"> </w:t>
      </w:r>
      <w:r w:rsidR="0093695F" w:rsidRPr="00182EF9">
        <w:rPr>
          <w:lang w:val="hr-HR"/>
        </w:rPr>
        <w:t xml:space="preserve">KM. </w:t>
      </w:r>
      <w:r w:rsidR="00CE0323" w:rsidRPr="00182EF9">
        <w:rPr>
          <w:lang w:val="hr-HR"/>
        </w:rPr>
        <w:t>Ovdje se</w:t>
      </w:r>
      <w:r w:rsidR="0093695F" w:rsidRPr="00182EF9">
        <w:rPr>
          <w:lang w:val="hr-HR"/>
        </w:rPr>
        <w:t xml:space="preserve"> najvećim dijelom radi o namjenskim prihodima (vodne naknade, cestovne naknade, naknade za zaštitu okoliša, posebne naknade za zaštitu od prirodnih i drugih nesreća) čij</w:t>
      </w:r>
      <w:r w:rsidR="00CE0323" w:rsidRPr="00182EF9">
        <w:rPr>
          <w:lang w:val="hr-HR"/>
        </w:rPr>
        <w:t xml:space="preserve">e je </w:t>
      </w:r>
      <w:r w:rsidR="00E2665D" w:rsidRPr="00182EF9">
        <w:rPr>
          <w:lang w:val="hr-HR"/>
        </w:rPr>
        <w:t>prihodovanje</w:t>
      </w:r>
      <w:r w:rsidR="00CE0323" w:rsidRPr="00182EF9">
        <w:rPr>
          <w:lang w:val="hr-HR"/>
        </w:rPr>
        <w:t xml:space="preserve"> uvjetovano njihovom </w:t>
      </w:r>
      <w:r w:rsidR="0093695F" w:rsidRPr="00182EF9">
        <w:rPr>
          <w:lang w:val="hr-HR"/>
        </w:rPr>
        <w:t>potrošnj</w:t>
      </w:r>
      <w:r w:rsidR="00CE0323" w:rsidRPr="00182EF9">
        <w:rPr>
          <w:lang w:val="hr-HR"/>
        </w:rPr>
        <w:t>om.</w:t>
      </w:r>
    </w:p>
    <w:p w14:paraId="2A248F88" w14:textId="6467598A" w:rsidR="00E2665D" w:rsidRPr="00182EF9" w:rsidRDefault="00F17335">
      <w:pPr>
        <w:ind w:firstLine="720"/>
        <w:jc w:val="both"/>
        <w:rPr>
          <w:lang w:val="hr-HR"/>
        </w:rPr>
      </w:pPr>
      <w:r w:rsidRPr="00182EF9">
        <w:rPr>
          <w:lang w:val="hr-HR"/>
        </w:rPr>
        <w:t>U</w:t>
      </w:r>
      <w:r w:rsidR="005070BF" w:rsidRPr="00182EF9">
        <w:rPr>
          <w:lang w:val="hr-HR"/>
        </w:rPr>
        <w:t xml:space="preserve"> planu </w:t>
      </w:r>
      <w:r w:rsidRPr="00182EF9">
        <w:rPr>
          <w:lang w:val="hr-HR"/>
        </w:rPr>
        <w:t xml:space="preserve">su </w:t>
      </w:r>
      <w:r w:rsidR="005070BF" w:rsidRPr="00182EF9">
        <w:rPr>
          <w:lang w:val="hr-HR"/>
        </w:rPr>
        <w:t xml:space="preserve">iskazani i prihodi </w:t>
      </w:r>
      <w:r w:rsidR="00E2665D" w:rsidRPr="00182EF9">
        <w:rPr>
          <w:lang w:val="hr-HR"/>
        </w:rPr>
        <w:t>razgraničeni na 31.12.</w:t>
      </w:r>
      <w:r w:rsidR="004B253E">
        <w:rPr>
          <w:lang w:val="hr-HR"/>
        </w:rPr>
        <w:t>2023</w:t>
      </w:r>
      <w:r w:rsidR="00E2665D" w:rsidRPr="00182EF9">
        <w:rPr>
          <w:lang w:val="hr-HR"/>
        </w:rPr>
        <w:t>. godine koji će se upotrijebiti za propisane namjene, kako slijedi:</w:t>
      </w:r>
    </w:p>
    <w:p w14:paraId="2A248F89" w14:textId="5CB19F80" w:rsidR="00337CFB" w:rsidRPr="00182EF9" w:rsidRDefault="00E2665D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- </w:t>
      </w:r>
      <w:r w:rsidR="003B6028">
        <w:rPr>
          <w:lang w:val="hr-HR"/>
        </w:rPr>
        <w:t>posebne naknade</w:t>
      </w:r>
      <w:r w:rsidR="009C3543">
        <w:rPr>
          <w:lang w:val="hr-HR"/>
        </w:rPr>
        <w:t xml:space="preserve"> za okoliš</w:t>
      </w:r>
      <w:r w:rsidR="001A747C">
        <w:rPr>
          <w:lang w:val="hr-HR"/>
        </w:rPr>
        <w:t xml:space="preserve"> koje plaćaju fizičke osobe pri svakoj registraciji motornih vozila </w:t>
      </w:r>
      <w:r w:rsidR="00337CFB" w:rsidRPr="00182EF9">
        <w:rPr>
          <w:lang w:val="hr-HR"/>
        </w:rPr>
        <w:t xml:space="preserve">(analitički konto </w:t>
      </w:r>
      <w:r w:rsidR="001A747C">
        <w:rPr>
          <w:lang w:val="hr-HR"/>
        </w:rPr>
        <w:t>722556</w:t>
      </w:r>
      <w:r w:rsidR="00337CFB" w:rsidRPr="00182EF9">
        <w:rPr>
          <w:lang w:val="hr-HR"/>
        </w:rPr>
        <w:t xml:space="preserve">) u iznosu od </w:t>
      </w:r>
      <w:r w:rsidR="001D34EF">
        <w:rPr>
          <w:lang w:val="hr-HR"/>
        </w:rPr>
        <w:t>208.494</w:t>
      </w:r>
      <w:r w:rsidR="00337CFB" w:rsidRPr="00182EF9">
        <w:rPr>
          <w:lang w:val="hr-HR"/>
        </w:rPr>
        <w:t xml:space="preserve"> KM</w:t>
      </w:r>
      <w:r w:rsidR="00F63A1C">
        <w:rPr>
          <w:lang w:val="hr-HR"/>
        </w:rPr>
        <w:t>.</w:t>
      </w:r>
    </w:p>
    <w:p w14:paraId="2A248F91" w14:textId="77777777" w:rsidR="007E0AFB" w:rsidRPr="00182EF9" w:rsidRDefault="00CE0323">
      <w:pPr>
        <w:ind w:firstLine="720"/>
        <w:jc w:val="both"/>
        <w:rPr>
          <w:lang w:val="hr-HR"/>
        </w:rPr>
      </w:pPr>
      <w:r w:rsidRPr="00182EF9">
        <w:rPr>
          <w:lang w:val="hr-HR"/>
        </w:rPr>
        <w:t>Na svim skupinama</w:t>
      </w:r>
      <w:r w:rsidR="007E0AFB" w:rsidRPr="00182EF9">
        <w:rPr>
          <w:lang w:val="hr-HR"/>
        </w:rPr>
        <w:t xml:space="preserve"> </w:t>
      </w:r>
      <w:r w:rsidR="00C40B99" w:rsidRPr="00182EF9">
        <w:rPr>
          <w:lang w:val="hr-HR"/>
        </w:rPr>
        <w:t xml:space="preserve">naknada i pristojbi po Federalnim zakonima i drugim propisima plan prihoda je usklađen s njihovom namjenskom potrošnjom u okvirima odgovarajućih </w:t>
      </w:r>
      <w:r w:rsidR="00337CFB" w:rsidRPr="00182EF9">
        <w:rPr>
          <w:lang w:val="hr-HR"/>
        </w:rPr>
        <w:t>rashodovnih</w:t>
      </w:r>
      <w:r w:rsidR="00C40B99" w:rsidRPr="00182EF9">
        <w:rPr>
          <w:lang w:val="hr-HR"/>
        </w:rPr>
        <w:t xml:space="preserve"> pozicija.</w:t>
      </w:r>
    </w:p>
    <w:p w14:paraId="2A248F92" w14:textId="77777777" w:rsidR="00617956" w:rsidRPr="00182EF9" w:rsidRDefault="00617956">
      <w:pPr>
        <w:ind w:firstLine="720"/>
        <w:jc w:val="both"/>
        <w:rPr>
          <w:b/>
          <w:i/>
          <w:lang w:val="hr-HR"/>
        </w:rPr>
      </w:pPr>
    </w:p>
    <w:p w14:paraId="2A248F93" w14:textId="19B0F55C" w:rsidR="00A560FB" w:rsidRPr="00182EF9" w:rsidRDefault="00445243">
      <w:pPr>
        <w:ind w:firstLine="720"/>
        <w:jc w:val="both"/>
        <w:rPr>
          <w:lang w:val="hr-HR"/>
        </w:rPr>
      </w:pPr>
      <w:r w:rsidRPr="00182EF9">
        <w:rPr>
          <w:b/>
          <w:i/>
          <w:lang w:val="hr-HR"/>
        </w:rPr>
        <w:t>Prihodi od pružanja javnih usluga</w:t>
      </w:r>
      <w:r w:rsidR="00A560FB" w:rsidRPr="00182EF9">
        <w:rPr>
          <w:b/>
          <w:i/>
          <w:lang w:val="hr-HR"/>
        </w:rPr>
        <w:t xml:space="preserve"> (glavna skupina 722600)</w:t>
      </w:r>
      <w:r w:rsidR="00A560FB" w:rsidRPr="00182EF9">
        <w:rPr>
          <w:lang w:val="hr-HR"/>
        </w:rPr>
        <w:t xml:space="preserve"> planirani su u iznosu od </w:t>
      </w:r>
      <w:r w:rsidR="00227154">
        <w:rPr>
          <w:lang w:val="hr-HR"/>
        </w:rPr>
        <w:t>518.870</w:t>
      </w:r>
      <w:r w:rsidR="00A560FB" w:rsidRPr="00182EF9">
        <w:rPr>
          <w:lang w:val="hr-HR"/>
        </w:rPr>
        <w:t xml:space="preserve"> KM, što je u odnosu na </w:t>
      </w:r>
      <w:r w:rsidR="00F17335" w:rsidRPr="00182EF9">
        <w:rPr>
          <w:lang w:val="hr-HR"/>
        </w:rPr>
        <w:t>prethodni</w:t>
      </w:r>
      <w:r w:rsidR="00A560FB" w:rsidRPr="00182EF9">
        <w:rPr>
          <w:lang w:val="hr-HR"/>
        </w:rPr>
        <w:t xml:space="preserve"> plan </w:t>
      </w:r>
      <w:r w:rsidR="00227154">
        <w:rPr>
          <w:lang w:val="hr-HR"/>
        </w:rPr>
        <w:t>povećanje</w:t>
      </w:r>
      <w:r w:rsidR="00A560FB" w:rsidRPr="00182EF9">
        <w:rPr>
          <w:lang w:val="hr-HR"/>
        </w:rPr>
        <w:t xml:space="preserve"> za </w:t>
      </w:r>
      <w:r w:rsidR="00227154">
        <w:rPr>
          <w:lang w:val="hr-HR"/>
        </w:rPr>
        <w:t>10,93</w:t>
      </w:r>
      <w:r w:rsidR="00A560FB" w:rsidRPr="00182EF9">
        <w:rPr>
          <w:lang w:val="hr-HR"/>
        </w:rPr>
        <w:t>%</w:t>
      </w:r>
      <w:r w:rsidR="002D65DB" w:rsidRPr="00182EF9">
        <w:rPr>
          <w:lang w:val="hr-HR"/>
        </w:rPr>
        <w:t>,</w:t>
      </w:r>
      <w:r w:rsidR="00A560FB" w:rsidRPr="00182EF9">
        <w:rPr>
          <w:lang w:val="hr-HR"/>
        </w:rPr>
        <w:t xml:space="preserve"> ili </w:t>
      </w:r>
      <w:r w:rsidR="00227154">
        <w:rPr>
          <w:lang w:val="hr-HR"/>
        </w:rPr>
        <w:t>povećanje</w:t>
      </w:r>
      <w:r w:rsidR="00A560FB" w:rsidRPr="00182EF9">
        <w:rPr>
          <w:lang w:val="hr-HR"/>
        </w:rPr>
        <w:t xml:space="preserve"> za </w:t>
      </w:r>
      <w:r w:rsidR="00227154">
        <w:rPr>
          <w:lang w:val="hr-HR"/>
        </w:rPr>
        <w:t>51.110</w:t>
      </w:r>
      <w:r w:rsidR="00A560FB" w:rsidRPr="00182EF9">
        <w:rPr>
          <w:lang w:val="hr-HR"/>
        </w:rPr>
        <w:t xml:space="preserve"> KM. U okviru ove skupine </w:t>
      </w:r>
      <w:r w:rsidR="004979FE" w:rsidRPr="00182EF9">
        <w:rPr>
          <w:lang w:val="hr-HR"/>
        </w:rPr>
        <w:t>izvršene su korekcije svih vrsta prihoda</w:t>
      </w:r>
      <w:r w:rsidR="00361999" w:rsidRPr="00182EF9">
        <w:rPr>
          <w:lang w:val="hr-HR"/>
        </w:rPr>
        <w:t xml:space="preserve"> obzirom na njihovu realizaciju </w:t>
      </w:r>
      <w:r w:rsidR="00A560FB" w:rsidRPr="00182EF9">
        <w:rPr>
          <w:lang w:val="hr-HR"/>
        </w:rPr>
        <w:t xml:space="preserve">u </w:t>
      </w:r>
      <w:r w:rsidR="00FD3CC1" w:rsidRPr="00182EF9">
        <w:rPr>
          <w:lang w:val="hr-HR"/>
        </w:rPr>
        <w:t>razdoblju siječanj-</w:t>
      </w:r>
      <w:r w:rsidR="00227154">
        <w:rPr>
          <w:lang w:val="hr-HR"/>
        </w:rPr>
        <w:t>listopad</w:t>
      </w:r>
      <w:r w:rsidR="00A560FB" w:rsidRPr="00182EF9">
        <w:rPr>
          <w:lang w:val="hr-HR"/>
        </w:rPr>
        <w:t xml:space="preserve"> </w:t>
      </w:r>
      <w:r w:rsidR="00227154">
        <w:rPr>
          <w:lang w:val="hr-HR"/>
        </w:rPr>
        <w:t>2024</w:t>
      </w:r>
      <w:r w:rsidR="004979FE" w:rsidRPr="00182EF9">
        <w:rPr>
          <w:lang w:val="hr-HR"/>
        </w:rPr>
        <w:t>. godine, a uzimajući u obzir očekivano izvršenje u ostatku fiskalne godine.</w:t>
      </w:r>
    </w:p>
    <w:p w14:paraId="2A248F94" w14:textId="77777777" w:rsidR="00617956" w:rsidRPr="00182EF9" w:rsidRDefault="00617956" w:rsidP="00875656">
      <w:pPr>
        <w:ind w:firstLine="720"/>
        <w:jc w:val="both"/>
        <w:rPr>
          <w:b/>
          <w:i/>
          <w:lang w:val="hr-HR"/>
        </w:rPr>
      </w:pPr>
    </w:p>
    <w:p w14:paraId="2A248F95" w14:textId="728401A3" w:rsidR="00593A7C" w:rsidRPr="00182EF9" w:rsidRDefault="00A560FB" w:rsidP="00875656">
      <w:pPr>
        <w:ind w:firstLine="720"/>
        <w:jc w:val="both"/>
        <w:rPr>
          <w:lang w:val="hr-HR"/>
        </w:rPr>
      </w:pPr>
      <w:r w:rsidRPr="00182EF9">
        <w:rPr>
          <w:b/>
          <w:i/>
          <w:lang w:val="hr-HR"/>
        </w:rPr>
        <w:t>N</w:t>
      </w:r>
      <w:r w:rsidR="00445243" w:rsidRPr="00182EF9">
        <w:rPr>
          <w:b/>
          <w:i/>
          <w:lang w:val="hr-HR"/>
        </w:rPr>
        <w:t>eplanirane uplate-prihodi (glavn</w:t>
      </w:r>
      <w:r w:rsidRPr="00182EF9">
        <w:rPr>
          <w:b/>
          <w:i/>
          <w:lang w:val="hr-HR"/>
        </w:rPr>
        <w:t>a</w:t>
      </w:r>
      <w:r w:rsidR="00445243" w:rsidRPr="00182EF9">
        <w:rPr>
          <w:b/>
          <w:i/>
          <w:lang w:val="hr-HR"/>
        </w:rPr>
        <w:t xml:space="preserve"> skupin</w:t>
      </w:r>
      <w:r w:rsidRPr="00182EF9">
        <w:rPr>
          <w:b/>
          <w:i/>
          <w:lang w:val="hr-HR"/>
        </w:rPr>
        <w:t>a</w:t>
      </w:r>
      <w:r w:rsidR="005E2E29" w:rsidRPr="00182EF9">
        <w:rPr>
          <w:b/>
          <w:i/>
          <w:lang w:val="hr-HR"/>
        </w:rPr>
        <w:t xml:space="preserve"> </w:t>
      </w:r>
      <w:r w:rsidR="007D3AE4" w:rsidRPr="00182EF9">
        <w:rPr>
          <w:b/>
          <w:i/>
          <w:lang w:val="hr-HR"/>
        </w:rPr>
        <w:t>722700)</w:t>
      </w:r>
      <w:r w:rsidRPr="00182EF9">
        <w:rPr>
          <w:lang w:val="hr-HR"/>
        </w:rPr>
        <w:t>, na osnovi izvršenja u razdoblju siječanj-</w:t>
      </w:r>
      <w:r w:rsidR="00227154">
        <w:rPr>
          <w:lang w:val="hr-HR"/>
        </w:rPr>
        <w:t>listopad</w:t>
      </w:r>
      <w:r w:rsidRPr="00182EF9">
        <w:rPr>
          <w:lang w:val="hr-HR"/>
        </w:rPr>
        <w:t xml:space="preserve"> </w:t>
      </w:r>
      <w:r w:rsidR="00192E2D" w:rsidRPr="00182EF9">
        <w:rPr>
          <w:lang w:val="hr-HR"/>
        </w:rPr>
        <w:t>202</w:t>
      </w:r>
      <w:r w:rsidR="00227154">
        <w:rPr>
          <w:lang w:val="hr-HR"/>
        </w:rPr>
        <w:t>4</w:t>
      </w:r>
      <w:r w:rsidRPr="00182EF9">
        <w:rPr>
          <w:lang w:val="hr-HR"/>
        </w:rPr>
        <w:t>. godine</w:t>
      </w:r>
      <w:r w:rsidR="00604C61" w:rsidRPr="00182EF9">
        <w:rPr>
          <w:lang w:val="hr-HR"/>
        </w:rPr>
        <w:t>,</w:t>
      </w:r>
      <w:r w:rsidR="004979FE" w:rsidRPr="00182EF9">
        <w:rPr>
          <w:lang w:val="hr-HR"/>
        </w:rPr>
        <w:t xml:space="preserve"> te kretanje navedenih prihoda u razdoblju </w:t>
      </w:r>
      <w:r w:rsidR="00227154">
        <w:rPr>
          <w:lang w:val="hr-HR"/>
        </w:rPr>
        <w:t>studeni</w:t>
      </w:r>
      <w:r w:rsidR="00DA5096" w:rsidRPr="00182EF9">
        <w:rPr>
          <w:lang w:val="hr-HR"/>
        </w:rPr>
        <w:t xml:space="preserve">-prosinac </w:t>
      </w:r>
      <w:r w:rsidR="00227154">
        <w:rPr>
          <w:lang w:val="hr-HR"/>
        </w:rPr>
        <w:t>2023</w:t>
      </w:r>
      <w:r w:rsidR="004979FE" w:rsidRPr="00182EF9">
        <w:rPr>
          <w:lang w:val="hr-HR"/>
        </w:rPr>
        <w:t>. godine</w:t>
      </w:r>
      <w:r w:rsidRPr="00182EF9">
        <w:rPr>
          <w:lang w:val="hr-HR"/>
        </w:rPr>
        <w:t>,</w:t>
      </w:r>
      <w:r w:rsidR="00FD3CC1" w:rsidRPr="00182EF9">
        <w:rPr>
          <w:lang w:val="hr-HR"/>
        </w:rPr>
        <w:t xml:space="preserve"> </w:t>
      </w:r>
      <w:r w:rsidR="007F6F03">
        <w:rPr>
          <w:lang w:val="hr-HR"/>
        </w:rPr>
        <w:t>smanjuju se</w:t>
      </w:r>
      <w:r w:rsidR="007D3AE4" w:rsidRPr="00182EF9">
        <w:rPr>
          <w:lang w:val="hr-HR"/>
        </w:rPr>
        <w:t xml:space="preserve"> za </w:t>
      </w:r>
      <w:r w:rsidR="00057C0A">
        <w:rPr>
          <w:lang w:val="hr-HR"/>
        </w:rPr>
        <w:t xml:space="preserve">20.740 </w:t>
      </w:r>
      <w:r w:rsidR="00445243" w:rsidRPr="00182EF9">
        <w:rPr>
          <w:lang w:val="hr-HR"/>
        </w:rPr>
        <w:t>KM</w:t>
      </w:r>
      <w:r w:rsidR="004979FE" w:rsidRPr="00182EF9">
        <w:rPr>
          <w:lang w:val="hr-HR"/>
        </w:rPr>
        <w:t xml:space="preserve">, odnosno za </w:t>
      </w:r>
      <w:r w:rsidR="007F6F03">
        <w:rPr>
          <w:lang w:val="hr-HR"/>
        </w:rPr>
        <w:t>31,45</w:t>
      </w:r>
      <w:r w:rsidR="004979FE" w:rsidRPr="00182EF9">
        <w:rPr>
          <w:lang w:val="hr-HR"/>
        </w:rPr>
        <w:t>%</w:t>
      </w:r>
      <w:r w:rsidR="00612688" w:rsidRPr="00182EF9">
        <w:rPr>
          <w:lang w:val="hr-HR"/>
        </w:rPr>
        <w:t xml:space="preserve">, i iznose </w:t>
      </w:r>
      <w:r w:rsidR="007F6F03">
        <w:rPr>
          <w:lang w:val="hr-HR"/>
        </w:rPr>
        <w:t>45.210</w:t>
      </w:r>
      <w:r w:rsidR="00612688" w:rsidRPr="00182EF9">
        <w:rPr>
          <w:lang w:val="hr-HR"/>
        </w:rPr>
        <w:t xml:space="preserve"> KM</w:t>
      </w:r>
      <w:r w:rsidR="004979FE" w:rsidRPr="00182EF9">
        <w:rPr>
          <w:lang w:val="hr-HR"/>
        </w:rPr>
        <w:t>.</w:t>
      </w:r>
      <w:r w:rsidR="00612688" w:rsidRPr="00182EF9">
        <w:rPr>
          <w:lang w:val="hr-HR"/>
        </w:rPr>
        <w:t xml:space="preserve"> </w:t>
      </w:r>
    </w:p>
    <w:p w14:paraId="2A248F96" w14:textId="77777777" w:rsidR="00593A7C" w:rsidRPr="00182EF9" w:rsidRDefault="00593A7C">
      <w:pPr>
        <w:ind w:firstLine="720"/>
        <w:jc w:val="both"/>
        <w:rPr>
          <w:lang w:val="hr-HR"/>
        </w:rPr>
      </w:pPr>
    </w:p>
    <w:p w14:paraId="2A248F97" w14:textId="77777777" w:rsidR="00593A7C" w:rsidRPr="00182EF9" w:rsidRDefault="00445243">
      <w:pPr>
        <w:pStyle w:val="Naslov3"/>
        <w:ind w:firstLine="720"/>
        <w:jc w:val="both"/>
      </w:pPr>
      <w:r w:rsidRPr="00182EF9">
        <w:t xml:space="preserve">3.2.3. </w:t>
      </w:r>
      <w:r w:rsidRPr="00182EF9">
        <w:tab/>
        <w:t>Novčane kazne</w:t>
      </w:r>
    </w:p>
    <w:p w14:paraId="2A248F98" w14:textId="4B957408" w:rsidR="00593A7C" w:rsidRPr="00182EF9" w:rsidRDefault="00445243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Novčane kazne (potkategorija 723000) planirane su u iznosu od </w:t>
      </w:r>
      <w:r w:rsidR="00A23B5E">
        <w:rPr>
          <w:lang w:val="hr-HR"/>
        </w:rPr>
        <w:t>960.510</w:t>
      </w:r>
      <w:r w:rsidRPr="00182EF9">
        <w:rPr>
          <w:lang w:val="hr-HR"/>
        </w:rPr>
        <w:t xml:space="preserve"> KM, što je </w:t>
      </w:r>
      <w:r w:rsidR="00A23B5E">
        <w:rPr>
          <w:lang w:val="hr-HR"/>
        </w:rPr>
        <w:t>6,91</w:t>
      </w:r>
      <w:r w:rsidRPr="00182EF9">
        <w:rPr>
          <w:lang w:val="hr-HR"/>
        </w:rPr>
        <w:t xml:space="preserve">% </w:t>
      </w:r>
      <w:r w:rsidR="00337CFB" w:rsidRPr="00182EF9">
        <w:rPr>
          <w:lang w:val="hr-HR"/>
        </w:rPr>
        <w:t>manje</w:t>
      </w:r>
      <w:r w:rsidRPr="00182EF9">
        <w:rPr>
          <w:lang w:val="hr-HR"/>
        </w:rPr>
        <w:t xml:space="preserve"> u odnosu na prethodno planirane</w:t>
      </w:r>
      <w:r w:rsidR="00192E2D" w:rsidRPr="00182EF9">
        <w:rPr>
          <w:lang w:val="hr-HR"/>
        </w:rPr>
        <w:t xml:space="preserve"> ili </w:t>
      </w:r>
      <w:r w:rsidR="00A23B5E">
        <w:rPr>
          <w:lang w:val="hr-HR"/>
        </w:rPr>
        <w:t>71.340</w:t>
      </w:r>
      <w:r w:rsidR="00192E2D" w:rsidRPr="00182EF9">
        <w:rPr>
          <w:lang w:val="hr-HR"/>
        </w:rPr>
        <w:t xml:space="preserve"> KM manje.</w:t>
      </w:r>
      <w:r w:rsidRPr="00182EF9">
        <w:rPr>
          <w:lang w:val="hr-HR"/>
        </w:rPr>
        <w:t xml:space="preserve"> Promatrano u apsolutnom iznosu planira se </w:t>
      </w:r>
      <w:r w:rsidR="00192E2D" w:rsidRPr="00182EF9">
        <w:rPr>
          <w:lang w:val="hr-HR"/>
        </w:rPr>
        <w:t>smanjenje</w:t>
      </w:r>
      <w:r w:rsidRPr="00182EF9">
        <w:rPr>
          <w:lang w:val="hr-HR"/>
        </w:rPr>
        <w:t xml:space="preserve"> prihoda od novčanih kazni </w:t>
      </w:r>
      <w:r w:rsidR="00CC78C3" w:rsidRPr="00182EF9">
        <w:rPr>
          <w:lang w:val="hr-HR"/>
        </w:rPr>
        <w:t xml:space="preserve">za prekršaje koje su registrirane u registru novčanih kazni i troškova prekršajnog postupka (analitički konto 723123) </w:t>
      </w:r>
      <w:r w:rsidRPr="00182EF9">
        <w:rPr>
          <w:lang w:val="hr-HR"/>
        </w:rPr>
        <w:t xml:space="preserve">za </w:t>
      </w:r>
      <w:r w:rsidR="00A23B5E">
        <w:rPr>
          <w:lang w:val="hr-HR"/>
        </w:rPr>
        <w:t>75.680</w:t>
      </w:r>
      <w:r w:rsidR="002A586C" w:rsidRPr="00182EF9">
        <w:rPr>
          <w:lang w:val="hr-HR"/>
        </w:rPr>
        <w:t xml:space="preserve"> KM</w:t>
      </w:r>
      <w:r w:rsidR="00337CFB" w:rsidRPr="00182EF9">
        <w:rPr>
          <w:lang w:val="hr-HR"/>
        </w:rPr>
        <w:t xml:space="preserve"> (</w:t>
      </w:r>
      <w:r w:rsidR="00192E2D" w:rsidRPr="00182EF9">
        <w:rPr>
          <w:lang w:val="hr-HR"/>
        </w:rPr>
        <w:t>smanjenje</w:t>
      </w:r>
      <w:r w:rsidR="00337CFB" w:rsidRPr="00182EF9">
        <w:rPr>
          <w:lang w:val="hr-HR"/>
        </w:rPr>
        <w:t xml:space="preserve"> </w:t>
      </w:r>
      <w:r w:rsidR="00813F46">
        <w:rPr>
          <w:lang w:val="hr-HR"/>
        </w:rPr>
        <w:t>7,38</w:t>
      </w:r>
      <w:r w:rsidR="00337CFB" w:rsidRPr="00182EF9">
        <w:rPr>
          <w:lang w:val="hr-HR"/>
        </w:rPr>
        <w:t>%)</w:t>
      </w:r>
      <w:r w:rsidR="00CC78C3" w:rsidRPr="00182EF9">
        <w:rPr>
          <w:lang w:val="hr-HR"/>
        </w:rPr>
        <w:t>, dok je kod ostalih prihoda iz ove skupine izvršena manja korekcija obzirom na izvršenje u dosadašnjem tijeku godine.</w:t>
      </w:r>
    </w:p>
    <w:p w14:paraId="2A248F99" w14:textId="77777777" w:rsidR="000636F8" w:rsidRPr="00182EF9" w:rsidRDefault="000636F8">
      <w:pPr>
        <w:jc w:val="both"/>
        <w:rPr>
          <w:lang w:val="hr-HR"/>
        </w:rPr>
      </w:pPr>
    </w:p>
    <w:p w14:paraId="2A248F9A" w14:textId="77777777" w:rsidR="002C27C8" w:rsidRPr="00182EF9" w:rsidRDefault="002C27C8">
      <w:pPr>
        <w:jc w:val="both"/>
        <w:rPr>
          <w:sz w:val="16"/>
          <w:szCs w:val="16"/>
          <w:lang w:val="hr-HR"/>
        </w:rPr>
      </w:pPr>
    </w:p>
    <w:p w14:paraId="2A248F9B" w14:textId="77777777" w:rsidR="00593A7C" w:rsidRPr="00182EF9" w:rsidRDefault="00445243" w:rsidP="00A40AAA">
      <w:pPr>
        <w:pStyle w:val="Naslov3"/>
        <w:numPr>
          <w:ilvl w:val="1"/>
          <w:numId w:val="3"/>
        </w:numPr>
        <w:jc w:val="both"/>
      </w:pPr>
      <w:r w:rsidRPr="00182EF9">
        <w:t>TEKUĆ</w:t>
      </w:r>
      <w:r w:rsidR="002A586C" w:rsidRPr="00182EF9">
        <w:t>I</w:t>
      </w:r>
      <w:r w:rsidR="00FD3CC1" w:rsidRPr="00182EF9">
        <w:t xml:space="preserve"> </w:t>
      </w:r>
      <w:r w:rsidR="002A586C" w:rsidRPr="00182EF9">
        <w:t>GRANTOVI (GRANTOVI I DONACIJE)</w:t>
      </w:r>
    </w:p>
    <w:p w14:paraId="2A248F9C" w14:textId="77777777" w:rsidR="00593A7C" w:rsidRPr="00182EF9" w:rsidRDefault="00593A7C">
      <w:pPr>
        <w:rPr>
          <w:sz w:val="16"/>
          <w:szCs w:val="16"/>
          <w:lang w:val="hr-HR"/>
        </w:rPr>
      </w:pPr>
    </w:p>
    <w:p w14:paraId="2A248F9D" w14:textId="69399FA6" w:rsidR="00593A7C" w:rsidRPr="00182EF9" w:rsidRDefault="00445243">
      <w:pPr>
        <w:ind w:firstLine="720"/>
        <w:jc w:val="both"/>
        <w:rPr>
          <w:lang w:val="hr-HR"/>
        </w:rPr>
      </w:pPr>
      <w:r w:rsidRPr="00182EF9">
        <w:rPr>
          <w:lang w:val="hr-HR"/>
        </w:rPr>
        <w:t>Tekuć</w:t>
      </w:r>
      <w:r w:rsidR="002A586C" w:rsidRPr="00182EF9">
        <w:rPr>
          <w:lang w:val="hr-HR"/>
        </w:rPr>
        <w:t>i</w:t>
      </w:r>
      <w:r w:rsidR="00FD3CC1" w:rsidRPr="00182EF9">
        <w:rPr>
          <w:lang w:val="hr-HR"/>
        </w:rPr>
        <w:t xml:space="preserve"> </w:t>
      </w:r>
      <w:r w:rsidR="002A586C" w:rsidRPr="00182EF9">
        <w:rPr>
          <w:lang w:val="hr-HR"/>
        </w:rPr>
        <w:t>grantovi</w:t>
      </w:r>
      <w:r w:rsidRPr="00182EF9">
        <w:rPr>
          <w:lang w:val="hr-HR"/>
        </w:rPr>
        <w:t xml:space="preserve"> (kategorija 730000) planiran</w:t>
      </w:r>
      <w:r w:rsidR="002A586C" w:rsidRPr="00182EF9">
        <w:rPr>
          <w:lang w:val="hr-HR"/>
        </w:rPr>
        <w:t>i</w:t>
      </w:r>
      <w:r w:rsidRPr="00182EF9">
        <w:rPr>
          <w:lang w:val="hr-HR"/>
        </w:rPr>
        <w:t xml:space="preserve"> su u iznosu od </w:t>
      </w:r>
      <w:r w:rsidR="0006241B">
        <w:rPr>
          <w:lang w:val="hr-HR"/>
        </w:rPr>
        <w:t>7.892.901</w:t>
      </w:r>
      <w:r w:rsidR="002A586C" w:rsidRPr="00182EF9">
        <w:rPr>
          <w:lang w:val="hr-HR"/>
        </w:rPr>
        <w:t xml:space="preserve"> KM, </w:t>
      </w:r>
      <w:r w:rsidR="00B90495" w:rsidRPr="00182EF9">
        <w:rPr>
          <w:lang w:val="hr-HR"/>
        </w:rPr>
        <w:t>i</w:t>
      </w:r>
      <w:r w:rsidR="002A586C" w:rsidRPr="00182EF9">
        <w:rPr>
          <w:lang w:val="hr-HR"/>
        </w:rPr>
        <w:t xml:space="preserve"> </w:t>
      </w:r>
      <w:r w:rsidR="00CC78C3" w:rsidRPr="00182EF9">
        <w:rPr>
          <w:lang w:val="hr-HR"/>
        </w:rPr>
        <w:t>manji</w:t>
      </w:r>
      <w:r w:rsidR="00CC7E52" w:rsidRPr="00182EF9">
        <w:rPr>
          <w:lang w:val="hr-HR"/>
        </w:rPr>
        <w:t xml:space="preserve"> su za </w:t>
      </w:r>
      <w:r w:rsidR="0006241B">
        <w:rPr>
          <w:lang w:val="hr-HR"/>
        </w:rPr>
        <w:t>22,63</w:t>
      </w:r>
      <w:r w:rsidR="00192E2D" w:rsidRPr="00182EF9">
        <w:rPr>
          <w:lang w:val="hr-HR"/>
        </w:rPr>
        <w:t>%</w:t>
      </w:r>
      <w:r w:rsidR="00CC7E52" w:rsidRPr="00182EF9">
        <w:rPr>
          <w:lang w:val="hr-HR"/>
        </w:rPr>
        <w:t xml:space="preserve"> u odnosu na </w:t>
      </w:r>
      <w:r w:rsidR="00192E2D" w:rsidRPr="00182EF9">
        <w:rPr>
          <w:lang w:val="hr-HR"/>
        </w:rPr>
        <w:t>prvobitno</w:t>
      </w:r>
      <w:r w:rsidR="00CC7E52" w:rsidRPr="00182EF9">
        <w:rPr>
          <w:lang w:val="hr-HR"/>
        </w:rPr>
        <w:t xml:space="preserve"> planirane, odnosno </w:t>
      </w:r>
      <w:r w:rsidR="00CC78C3" w:rsidRPr="00182EF9">
        <w:rPr>
          <w:lang w:val="hr-HR"/>
        </w:rPr>
        <w:t>manji</w:t>
      </w:r>
      <w:r w:rsidR="00CC7E52" w:rsidRPr="00182EF9">
        <w:rPr>
          <w:lang w:val="hr-HR"/>
        </w:rPr>
        <w:t xml:space="preserve"> za </w:t>
      </w:r>
      <w:r w:rsidR="00EC0188">
        <w:rPr>
          <w:lang w:val="hr-HR"/>
        </w:rPr>
        <w:t>2.308.774</w:t>
      </w:r>
      <w:r w:rsidR="00CC7E52" w:rsidRPr="00182EF9">
        <w:rPr>
          <w:lang w:val="hr-HR"/>
        </w:rPr>
        <w:t xml:space="preserve"> KM.</w:t>
      </w:r>
      <w:r w:rsidR="00245405" w:rsidRPr="00182EF9">
        <w:rPr>
          <w:lang w:val="hr-HR"/>
        </w:rPr>
        <w:t xml:space="preserve"> </w:t>
      </w:r>
      <w:r w:rsidRPr="00182EF9">
        <w:rPr>
          <w:lang w:val="hr-HR"/>
        </w:rPr>
        <w:t>Navedeni iznos tekućih potpora sastoji se od</w:t>
      </w:r>
      <w:r w:rsidR="001413F2" w:rsidRPr="00182EF9">
        <w:rPr>
          <w:lang w:val="hr-HR"/>
        </w:rPr>
        <w:t xml:space="preserve"> realiziranih tekućih potpora u razdoblju siječanj-</w:t>
      </w:r>
      <w:r w:rsidR="00CC78C3" w:rsidRPr="00182EF9">
        <w:rPr>
          <w:lang w:val="hr-HR"/>
        </w:rPr>
        <w:t xml:space="preserve">listopad </w:t>
      </w:r>
      <w:r w:rsidR="00EC0188">
        <w:rPr>
          <w:lang w:val="hr-HR"/>
        </w:rPr>
        <w:t>2024</w:t>
      </w:r>
      <w:r w:rsidR="001413F2" w:rsidRPr="00182EF9">
        <w:rPr>
          <w:lang w:val="hr-HR"/>
        </w:rPr>
        <w:t>. godine</w:t>
      </w:r>
      <w:r w:rsidR="00D63C1D" w:rsidRPr="00182EF9">
        <w:rPr>
          <w:lang w:val="hr-HR"/>
        </w:rPr>
        <w:t>,</w:t>
      </w:r>
      <w:r w:rsidR="0043542D" w:rsidRPr="00182EF9">
        <w:rPr>
          <w:lang w:val="hr-HR"/>
        </w:rPr>
        <w:t xml:space="preserve"> </w:t>
      </w:r>
      <w:r w:rsidR="006D324B" w:rsidRPr="00182EF9">
        <w:rPr>
          <w:lang w:val="hr-HR"/>
        </w:rPr>
        <w:t>tekućih potpora razgraničenih na 31.12.</w:t>
      </w:r>
      <w:r w:rsidR="00EC0188">
        <w:rPr>
          <w:lang w:val="hr-HR"/>
        </w:rPr>
        <w:t>2023</w:t>
      </w:r>
      <w:r w:rsidR="006D324B" w:rsidRPr="00182EF9">
        <w:rPr>
          <w:lang w:val="hr-HR"/>
        </w:rPr>
        <w:t>. godi</w:t>
      </w:r>
      <w:r w:rsidR="0043542D" w:rsidRPr="00182EF9">
        <w:rPr>
          <w:lang w:val="hr-HR"/>
        </w:rPr>
        <w:t xml:space="preserve">ne za potrošnju u </w:t>
      </w:r>
      <w:r w:rsidR="00EC0188">
        <w:rPr>
          <w:lang w:val="hr-HR"/>
        </w:rPr>
        <w:t>2024</w:t>
      </w:r>
      <w:r w:rsidR="0043542D" w:rsidRPr="00182EF9">
        <w:rPr>
          <w:lang w:val="hr-HR"/>
        </w:rPr>
        <w:t>. godini</w:t>
      </w:r>
      <w:r w:rsidR="001413F2" w:rsidRPr="00182EF9">
        <w:rPr>
          <w:lang w:val="hr-HR"/>
        </w:rPr>
        <w:t>,</w:t>
      </w:r>
      <w:r w:rsidR="006635BE">
        <w:rPr>
          <w:lang w:val="hr-HR"/>
        </w:rPr>
        <w:t xml:space="preserve"> </w:t>
      </w:r>
      <w:r w:rsidR="00920E8C">
        <w:rPr>
          <w:lang w:val="hr-HR"/>
        </w:rPr>
        <w:t xml:space="preserve">te </w:t>
      </w:r>
      <w:r w:rsidR="00C9511E">
        <w:rPr>
          <w:lang w:val="hr-HR"/>
        </w:rPr>
        <w:t xml:space="preserve">potpora čija se realizacija </w:t>
      </w:r>
      <w:r w:rsidR="00B60D7B">
        <w:rPr>
          <w:lang w:val="hr-HR"/>
        </w:rPr>
        <w:t>očekuje do konca 2024. godine,</w:t>
      </w:r>
      <w:r w:rsidR="001413F2" w:rsidRPr="00182EF9">
        <w:rPr>
          <w:lang w:val="hr-HR"/>
        </w:rPr>
        <w:t xml:space="preserve"> </w:t>
      </w:r>
      <w:r w:rsidR="0043542D" w:rsidRPr="00182EF9">
        <w:rPr>
          <w:lang w:val="hr-HR"/>
        </w:rPr>
        <w:t>kako slijedi</w:t>
      </w:r>
      <w:r w:rsidRPr="00182EF9">
        <w:rPr>
          <w:lang w:val="hr-HR"/>
        </w:rPr>
        <w:t>:</w:t>
      </w:r>
    </w:p>
    <w:p w14:paraId="2A248FA2" w14:textId="7D316C42" w:rsidR="00320169" w:rsidRPr="00182EF9" w:rsidRDefault="009E1247" w:rsidP="0096089B">
      <w:pPr>
        <w:pStyle w:val="Uvuenotijeloteksta"/>
        <w:numPr>
          <w:ilvl w:val="1"/>
          <w:numId w:val="11"/>
        </w:numPr>
        <w:spacing w:line="240" w:lineRule="auto"/>
        <w:ind w:left="567" w:hanging="425"/>
      </w:pPr>
      <w:r w:rsidRPr="00182EF9">
        <w:t>S</w:t>
      </w:r>
      <w:r w:rsidR="00320169" w:rsidRPr="00182EF9">
        <w:t xml:space="preserve">redstva Ministarstva gospodarstva, rada i prostornog uređenja za izradu Prostornog plana u iznosu od </w:t>
      </w:r>
      <w:r w:rsidR="00626B0A" w:rsidRPr="00182EF9">
        <w:t>4.</w:t>
      </w:r>
      <w:r w:rsidR="002C367F" w:rsidRPr="00182EF9">
        <w:t>86</w:t>
      </w:r>
      <w:r w:rsidR="008E0747">
        <w:t>2</w:t>
      </w:r>
      <w:r w:rsidR="00626B0A" w:rsidRPr="00182EF9">
        <w:t xml:space="preserve"> KM</w:t>
      </w:r>
      <w:r w:rsidR="00320169" w:rsidRPr="00182EF9">
        <w:t xml:space="preserve"> (sredstva iz Proračuna Federacije BiH za izradu Prostornog plana</w:t>
      </w:r>
      <w:r w:rsidR="00626B0A" w:rsidRPr="00182EF9">
        <w:t xml:space="preserve"> – razgraničeni prihodi</w:t>
      </w:r>
      <w:r w:rsidR="00320169" w:rsidRPr="00182EF9">
        <w:t>)</w:t>
      </w:r>
      <w:r w:rsidR="00B66A2A">
        <w:t>;</w:t>
      </w:r>
    </w:p>
    <w:p w14:paraId="2A248FA3" w14:textId="27E287AD" w:rsidR="00210730" w:rsidRPr="00182EF9" w:rsidRDefault="004176C3" w:rsidP="0096089B">
      <w:pPr>
        <w:pStyle w:val="Uvuenotijeloteksta"/>
        <w:numPr>
          <w:ilvl w:val="1"/>
          <w:numId w:val="11"/>
        </w:numPr>
        <w:spacing w:line="240" w:lineRule="auto"/>
        <w:ind w:left="567" w:hanging="425"/>
      </w:pPr>
      <w:r>
        <w:t>S</w:t>
      </w:r>
      <w:r w:rsidRPr="00150661">
        <w:t xml:space="preserve">redstva iz Proračuna FBiH Ministarstvu zdravstva, rada i socijalne politike za primjenu Zakona o </w:t>
      </w:r>
      <w:r>
        <w:t>zaštiti civilnih žrtava rata u Federaciji Bosne i Hercegovine</w:t>
      </w:r>
      <w:r w:rsidRPr="00150661">
        <w:t xml:space="preserve"> («Službene novine Federacije Bosne i Hercegovine», broj: </w:t>
      </w:r>
      <w:r>
        <w:t>60/23</w:t>
      </w:r>
      <w:r w:rsidRPr="00150661">
        <w:t>)</w:t>
      </w:r>
      <w:r w:rsidR="00210730" w:rsidRPr="00182EF9">
        <w:t xml:space="preserve">, u iznosu od </w:t>
      </w:r>
      <w:r w:rsidR="004070FC">
        <w:t>229</w:t>
      </w:r>
      <w:r w:rsidR="004C1FF2" w:rsidRPr="00182EF9">
        <w:t>.</w:t>
      </w:r>
      <w:r w:rsidR="004070FC">
        <w:t>87</w:t>
      </w:r>
      <w:r w:rsidR="004C1FF2" w:rsidRPr="00182EF9">
        <w:t>0</w:t>
      </w:r>
      <w:r w:rsidR="00210730" w:rsidRPr="00182EF9">
        <w:t xml:space="preserve"> KM</w:t>
      </w:r>
      <w:r w:rsidR="00B66A2A">
        <w:t>;</w:t>
      </w:r>
    </w:p>
    <w:p w14:paraId="554FCB9C" w14:textId="7F792C82" w:rsidR="004070FC" w:rsidRDefault="00F855FA" w:rsidP="0096089B">
      <w:pPr>
        <w:pStyle w:val="Uvuenotijeloteksta"/>
        <w:numPr>
          <w:ilvl w:val="1"/>
          <w:numId w:val="11"/>
        </w:numPr>
        <w:spacing w:line="240" w:lineRule="auto"/>
        <w:ind w:left="567" w:hanging="425"/>
      </w:pPr>
      <w:r>
        <w:lastRenderedPageBreak/>
        <w:t xml:space="preserve">Dio razgraničenog tekućeg granta od </w:t>
      </w:r>
      <w:r w:rsidR="00BC59E3">
        <w:t>Federalnog ministarstva prostornog uređenja dodijeljenog Ministarstvu poljoprivrede, vodoprivrede i šumarstva Županije Posavske</w:t>
      </w:r>
      <w:r w:rsidR="002E0EA8">
        <w:t xml:space="preserve"> na temelju Ugovora o sufinanciranju projekta „Uređenje odvodne kanalske mreže</w:t>
      </w:r>
      <w:r w:rsidR="00003E8A">
        <w:t xml:space="preserve"> na prostoru ŽP“ u iznosu od 90.000 KM</w:t>
      </w:r>
      <w:r w:rsidR="00B66A2A">
        <w:t>;</w:t>
      </w:r>
    </w:p>
    <w:p w14:paraId="31F4E20E" w14:textId="64EACA53" w:rsidR="004070FC" w:rsidRDefault="00FE4F74" w:rsidP="0096089B">
      <w:pPr>
        <w:pStyle w:val="Uvuenotijeloteksta"/>
        <w:numPr>
          <w:ilvl w:val="1"/>
          <w:numId w:val="11"/>
        </w:numPr>
        <w:spacing w:line="240" w:lineRule="auto"/>
        <w:ind w:left="567" w:hanging="425"/>
      </w:pPr>
      <w:r>
        <w:t>T</w:t>
      </w:r>
      <w:r w:rsidR="009F71FD" w:rsidRPr="00150661">
        <w:t xml:space="preserve">ekući grant od Federalnog ministarstva obrazovanja i nauke dodijeljen Ministarstvu prosvjete, znanosti, kulture i sporta Županije Posavske na temelju Ugovora o financiranju/sufinanciranju projekata iz oblasti „Podrška programima razvijanja funkcionalnih znanja i vještina djece predškolskog uzrasta i učenika javnih osnovnih i javnih srednjih škola“ u iznosu od </w:t>
      </w:r>
      <w:r w:rsidR="004F361F">
        <w:t xml:space="preserve">26.362 KM (ukupna doznačena sredstva iznose </w:t>
      </w:r>
      <w:r w:rsidR="009F71FD" w:rsidRPr="00150661">
        <w:t>29.930 KM</w:t>
      </w:r>
      <w:r w:rsidR="004F361F">
        <w:t>,</w:t>
      </w:r>
      <w:r w:rsidR="007F63B0">
        <w:t xml:space="preserve"> od čega je namjenski utrošeno 26.362 KM dok će se za preostala sredstva izvršiti povrat)</w:t>
      </w:r>
      <w:r w:rsidR="00B66A2A">
        <w:t>;</w:t>
      </w:r>
    </w:p>
    <w:p w14:paraId="4A6674E2" w14:textId="0B24C0AD" w:rsidR="000205A7" w:rsidRDefault="00FE4F74" w:rsidP="0096089B">
      <w:pPr>
        <w:pStyle w:val="Uvuenotijeloteksta"/>
        <w:numPr>
          <w:ilvl w:val="1"/>
          <w:numId w:val="11"/>
        </w:numPr>
        <w:spacing w:line="240" w:lineRule="auto"/>
        <w:ind w:left="567" w:hanging="425"/>
      </w:pPr>
      <w:r>
        <w:t>T</w:t>
      </w:r>
      <w:r w:rsidR="007E25E0" w:rsidRPr="00150661">
        <w:t xml:space="preserve">ekući grant od Federalnog ministarstva obrazovanja i nauke dodijeljen Ministarstvu prosvjete, znanosti, kulture i sporta Županije Posavske na temelju Ugovora o realizaciji programa „Nabavka udžbenika za učenike osnovnih škola u Federaciji BiH od 1. do 5. razreda“ u ukupnom iznosu od </w:t>
      </w:r>
      <w:r w:rsidR="00111525">
        <w:t>475.536 KM (iznos doznačenih sredstava</w:t>
      </w:r>
      <w:r w:rsidR="00510B37">
        <w:t xml:space="preserve"> je </w:t>
      </w:r>
      <w:r w:rsidR="007E25E0" w:rsidRPr="00150661">
        <w:t>482.600 KM</w:t>
      </w:r>
      <w:r w:rsidR="00510B37">
        <w:t>)</w:t>
      </w:r>
      <w:r w:rsidR="007E25E0" w:rsidRPr="00150661">
        <w:t>, od čega je</w:t>
      </w:r>
      <w:r w:rsidR="000205A7">
        <w:t>:</w:t>
      </w:r>
      <w:r w:rsidR="007E25E0" w:rsidRPr="00150661">
        <w:t xml:space="preserve"> </w:t>
      </w:r>
    </w:p>
    <w:p w14:paraId="2D2E45EE" w14:textId="045CD7E5" w:rsidR="00CA4186" w:rsidRDefault="00510B37" w:rsidP="0096089B">
      <w:pPr>
        <w:pStyle w:val="Uvuenotijeloteksta"/>
        <w:numPr>
          <w:ilvl w:val="2"/>
          <w:numId w:val="6"/>
        </w:numPr>
        <w:spacing w:line="240" w:lineRule="auto"/>
        <w:ind w:left="1560" w:hanging="426"/>
      </w:pPr>
      <w:r>
        <w:t>i</w:t>
      </w:r>
      <w:r w:rsidR="00CA4186">
        <w:t>znos od 331.720</w:t>
      </w:r>
      <w:r w:rsidR="00920F6B">
        <w:t xml:space="preserve"> KM namjenski utrošen</w:t>
      </w:r>
      <w:r w:rsidR="00FD4D1C">
        <w:t xml:space="preserve"> </w:t>
      </w:r>
      <w:r w:rsidR="00617296">
        <w:t xml:space="preserve">u 2024. godini </w:t>
      </w:r>
      <w:r w:rsidR="00FD4D1C">
        <w:t>po uvjetima programa,</w:t>
      </w:r>
    </w:p>
    <w:p w14:paraId="485F35CC" w14:textId="5C8BAAC0" w:rsidR="00FD4D1C" w:rsidRDefault="00510B37" w:rsidP="0096089B">
      <w:pPr>
        <w:pStyle w:val="Uvuenotijeloteksta"/>
        <w:numPr>
          <w:ilvl w:val="2"/>
          <w:numId w:val="6"/>
        </w:numPr>
        <w:spacing w:line="240" w:lineRule="auto"/>
        <w:ind w:left="1560" w:hanging="426"/>
      </w:pPr>
      <w:r>
        <w:t>i</w:t>
      </w:r>
      <w:r w:rsidR="0096089B">
        <w:t xml:space="preserve">znos od 143.816 KM </w:t>
      </w:r>
      <w:r w:rsidR="007E25E0" w:rsidRPr="00150661">
        <w:t>na temelju namjenske potrošnje u 2023. godini</w:t>
      </w:r>
      <w:r w:rsidR="0096089B">
        <w:t xml:space="preserve"> </w:t>
      </w:r>
      <w:r w:rsidR="00CA4186">
        <w:t xml:space="preserve">u formi refundacije prihodovno priznat </w:t>
      </w:r>
      <w:r w:rsidR="007E25E0" w:rsidRPr="00150661">
        <w:t xml:space="preserve">na Riznicu ŽP (organizacijski kod 99999999), </w:t>
      </w:r>
    </w:p>
    <w:p w14:paraId="128B3BE3" w14:textId="168F04EB" w:rsidR="007E25E0" w:rsidRPr="00150661" w:rsidRDefault="006A6E3E" w:rsidP="0096089B">
      <w:pPr>
        <w:pStyle w:val="Uvuenotijeloteksta"/>
        <w:numPr>
          <w:ilvl w:val="2"/>
          <w:numId w:val="6"/>
        </w:numPr>
        <w:spacing w:line="240" w:lineRule="auto"/>
        <w:ind w:left="1560" w:hanging="426"/>
      </w:pPr>
      <w:r>
        <w:t>z</w:t>
      </w:r>
      <w:r w:rsidR="00922A08">
        <w:t xml:space="preserve">a neutrošeni dio </w:t>
      </w:r>
      <w:r>
        <w:t xml:space="preserve">sredstava </w:t>
      </w:r>
      <w:r w:rsidR="00922A08">
        <w:t>u i</w:t>
      </w:r>
      <w:r w:rsidR="00FD4D1C">
        <w:t>znos</w:t>
      </w:r>
      <w:r w:rsidR="00922A08">
        <w:t>u</w:t>
      </w:r>
      <w:r w:rsidR="00FD4D1C">
        <w:t xml:space="preserve"> od </w:t>
      </w:r>
      <w:r w:rsidR="0032784A">
        <w:t>7.064 KM</w:t>
      </w:r>
      <w:r>
        <w:t xml:space="preserve"> izvršit će se povrat</w:t>
      </w:r>
      <w:r w:rsidR="00B66A2A">
        <w:t>;</w:t>
      </w:r>
    </w:p>
    <w:p w14:paraId="48B83CA2" w14:textId="61784CCB" w:rsidR="004070FC" w:rsidRDefault="00C86852" w:rsidP="006A6E3E">
      <w:pPr>
        <w:pStyle w:val="Uvuenotijeloteksta"/>
        <w:numPr>
          <w:ilvl w:val="1"/>
          <w:numId w:val="13"/>
        </w:numPr>
        <w:spacing w:line="240" w:lineRule="auto"/>
        <w:ind w:left="567" w:hanging="425"/>
      </w:pPr>
      <w:r>
        <w:t>Razgra</w:t>
      </w:r>
      <w:r w:rsidR="00B86FEC">
        <w:t>ničeni dio tekuće potpore iz Proračuna Federacije Bosne i Hercegovine za 2023. godinu</w:t>
      </w:r>
      <w:r w:rsidR="007108A2">
        <w:t xml:space="preserve"> s pozicije </w:t>
      </w:r>
      <w:r w:rsidR="00291605" w:rsidRPr="00182EF9">
        <w:t>„Tekući transferi drugim razinama vlasti i fondovima – kantoni“</w:t>
      </w:r>
      <w:r w:rsidR="00BE2729">
        <w:t xml:space="preserve"> za financiranje</w:t>
      </w:r>
      <w:r w:rsidR="00250512">
        <w:t>/sufinanciranje</w:t>
      </w:r>
      <w:r w:rsidR="00BE2729">
        <w:t xml:space="preserve"> infrastrukturnih projekata u iznosu od 1.628.319 KM</w:t>
      </w:r>
      <w:r w:rsidR="00B66A2A">
        <w:t>;</w:t>
      </w:r>
    </w:p>
    <w:p w14:paraId="2A248FA7" w14:textId="0E03ADCC" w:rsidR="005866C4" w:rsidRPr="00182EF9" w:rsidRDefault="004B2033" w:rsidP="006A6E3E">
      <w:pPr>
        <w:pStyle w:val="Uvuenotijeloteksta"/>
        <w:numPr>
          <w:ilvl w:val="1"/>
          <w:numId w:val="13"/>
        </w:numPr>
        <w:spacing w:line="240" w:lineRule="auto"/>
        <w:ind w:left="567" w:hanging="425"/>
      </w:pPr>
      <w:r>
        <w:t>Tekuća potpora iz</w:t>
      </w:r>
      <w:r w:rsidR="00AA02A1" w:rsidRPr="00182EF9">
        <w:t xml:space="preserve"> Proračun</w:t>
      </w:r>
      <w:r>
        <w:t>a</w:t>
      </w:r>
      <w:r w:rsidR="00AA02A1" w:rsidRPr="00182EF9">
        <w:t xml:space="preserve"> Federacije Bosne i Hercegovine za </w:t>
      </w:r>
      <w:r w:rsidR="00626B0A" w:rsidRPr="00182EF9">
        <w:t>202</w:t>
      </w:r>
      <w:r>
        <w:t>4</w:t>
      </w:r>
      <w:r w:rsidR="00AA02A1" w:rsidRPr="00182EF9">
        <w:t xml:space="preserve">. godinu </w:t>
      </w:r>
      <w:r w:rsidR="00626B0A" w:rsidRPr="00182EF9">
        <w:t xml:space="preserve">s </w:t>
      </w:r>
      <w:r>
        <w:t>pozicije</w:t>
      </w:r>
      <w:r w:rsidR="00626B0A" w:rsidRPr="00182EF9">
        <w:t xml:space="preserve"> „Tekući transferi drugim razinama vlasti i fondovima – kantoni“</w:t>
      </w:r>
      <w:r w:rsidR="00AA02A1" w:rsidRPr="00182EF9">
        <w:t xml:space="preserve"> </w:t>
      </w:r>
      <w:r w:rsidR="009E1247" w:rsidRPr="00182EF9">
        <w:t xml:space="preserve">u ukupnom iznosu od </w:t>
      </w:r>
      <w:r w:rsidR="0054569B">
        <w:t>5.321.380</w:t>
      </w:r>
      <w:r w:rsidR="009E1247" w:rsidRPr="00182EF9">
        <w:t xml:space="preserve"> KM</w:t>
      </w:r>
      <w:r w:rsidR="004416DA">
        <w:t xml:space="preserve"> – ukupan </w:t>
      </w:r>
      <w:r w:rsidR="004A36F3">
        <w:t>predviđeni</w:t>
      </w:r>
      <w:r w:rsidR="004416DA">
        <w:t xml:space="preserve"> iznos</w:t>
      </w:r>
      <w:r w:rsidR="004A36F3">
        <w:t xml:space="preserve"> navedenog</w:t>
      </w:r>
      <w:r w:rsidR="004416DA">
        <w:t xml:space="preserve"> </w:t>
      </w:r>
      <w:r w:rsidR="004A36F3">
        <w:t>granta</w:t>
      </w:r>
      <w:r w:rsidR="004416DA">
        <w:t xml:space="preserve"> je </w:t>
      </w:r>
      <w:r w:rsidR="003832A7">
        <w:t>7.601</w:t>
      </w:r>
      <w:r w:rsidR="004A36F3">
        <w:t>.</w:t>
      </w:r>
      <w:r w:rsidR="003832A7">
        <w:t>9</w:t>
      </w:r>
      <w:r w:rsidR="004A36F3">
        <w:t>71 KM</w:t>
      </w:r>
      <w:r w:rsidR="001D7FF5">
        <w:t xml:space="preserve"> uz uvjet raspodjele: 50% (</w:t>
      </w:r>
      <w:r w:rsidR="00031DB7">
        <w:t>3.</w:t>
      </w:r>
      <w:r w:rsidR="00530240">
        <w:t>800</w:t>
      </w:r>
      <w:r w:rsidR="00031DB7">
        <w:t>.9</w:t>
      </w:r>
      <w:r w:rsidR="00530240">
        <w:t>8</w:t>
      </w:r>
      <w:r w:rsidR="00031DB7">
        <w:t xml:space="preserve">6 KM) za provođenje strukturalnih reformi, </w:t>
      </w:r>
      <w:r w:rsidR="00C76844">
        <w:t>30% (</w:t>
      </w:r>
      <w:r w:rsidR="00530240">
        <w:t>2.280.591 KM) za financiranje/sufinanciranje</w:t>
      </w:r>
      <w:r w:rsidR="005F114C">
        <w:t xml:space="preserve"> infrastrukturnih projekata i 20% (1.520.394 KM) za provođenje mjera demografske politike. Izmjenama i dopunama Proračuna Županije Posavske za 2024. godinu</w:t>
      </w:r>
      <w:r w:rsidR="00EE79B0">
        <w:t xml:space="preserve"> </w:t>
      </w:r>
      <w:r w:rsidR="005F114C">
        <w:t>planira</w:t>
      </w:r>
      <w:r w:rsidR="003C4796">
        <w:t xml:space="preserve"> se potrošnja </w:t>
      </w:r>
      <w:r w:rsidR="00DD4C8E">
        <w:t>70% navedenih sredstava,</w:t>
      </w:r>
      <w:r w:rsidR="00EE79B0">
        <w:t xml:space="preserve"> </w:t>
      </w:r>
      <w:r w:rsidR="00DD4C8E">
        <w:t xml:space="preserve">dok se preostalih 30% za infrastrukturne projekte planira </w:t>
      </w:r>
      <w:r w:rsidR="00250512">
        <w:t xml:space="preserve">razgraničiti i </w:t>
      </w:r>
      <w:r w:rsidR="00DD4C8E">
        <w:t>uvrstiti u Proračun Županije Posavske za 2025. godinu</w:t>
      </w:r>
      <w:r w:rsidR="001A3C89">
        <w:t>.</w:t>
      </w:r>
    </w:p>
    <w:p w14:paraId="2A248FA9" w14:textId="23125CA3" w:rsidR="00F82E6A" w:rsidRPr="00182EF9" w:rsidRDefault="00F82E6A" w:rsidP="006A6E3E">
      <w:pPr>
        <w:pStyle w:val="Uvuenotijeloteksta"/>
        <w:numPr>
          <w:ilvl w:val="1"/>
          <w:numId w:val="13"/>
        </w:numPr>
        <w:spacing w:line="240" w:lineRule="auto"/>
        <w:ind w:left="567" w:hanging="425"/>
      </w:pPr>
      <w:r w:rsidRPr="00182EF9">
        <w:rPr>
          <w:bCs/>
          <w:color w:val="000000"/>
          <w:lang w:eastAsia="hr-HR"/>
        </w:rPr>
        <w:t xml:space="preserve">Grant od Federalnog zavoda za upošljavanje Županije Posavske </w:t>
      </w:r>
      <w:r w:rsidRPr="00182EF9">
        <w:t xml:space="preserve">na temelju Ugovorâ o sufinanciranju zapošljavanja (prvo radno iskustvo-pripravnici) u ukupnom iznosu od </w:t>
      </w:r>
      <w:r w:rsidR="009567FA">
        <w:t>53.372</w:t>
      </w:r>
      <w:r w:rsidRPr="00182EF9">
        <w:t xml:space="preserve"> KM</w:t>
      </w:r>
      <w:r w:rsidRPr="00182EF9">
        <w:rPr>
          <w:bCs/>
          <w:color w:val="000000"/>
          <w:lang w:eastAsia="hr-HR"/>
        </w:rPr>
        <w:t>, i</w:t>
      </w:r>
    </w:p>
    <w:p w14:paraId="2A248FAB" w14:textId="5174BF9A" w:rsidR="00F82E6A" w:rsidRPr="009567FA" w:rsidRDefault="00F82E6A" w:rsidP="00A50CC1">
      <w:pPr>
        <w:pStyle w:val="Uvuenotijeloteksta"/>
        <w:numPr>
          <w:ilvl w:val="1"/>
          <w:numId w:val="13"/>
        </w:numPr>
        <w:spacing w:line="240" w:lineRule="auto"/>
        <w:ind w:left="567" w:hanging="425"/>
      </w:pPr>
      <w:r w:rsidRPr="000564CA">
        <w:t xml:space="preserve">grant od Službe za upošljavanje Županije Posavske na temelju Ugovora o sufinanciranju odgovarajućeg stručnog kadra za djecu s poteškoćama u razvoju u osnovnom obrazovanju u redovnoj nastavi u FBiH u iznosu od </w:t>
      </w:r>
      <w:r w:rsidR="009567FA">
        <w:t>63.200</w:t>
      </w:r>
      <w:r w:rsidR="00D64EA8" w:rsidRPr="000564CA">
        <w:t>0</w:t>
      </w:r>
      <w:r w:rsidRPr="000564CA">
        <w:t xml:space="preserve"> KM</w:t>
      </w:r>
      <w:r w:rsidR="009567FA">
        <w:t>.</w:t>
      </w:r>
    </w:p>
    <w:p w14:paraId="756605EB" w14:textId="77777777" w:rsidR="009567FA" w:rsidRDefault="009567FA" w:rsidP="009567FA">
      <w:pPr>
        <w:ind w:firstLine="142"/>
        <w:jc w:val="both"/>
        <w:rPr>
          <w:lang w:val="hr-HR"/>
        </w:rPr>
      </w:pPr>
    </w:p>
    <w:p w14:paraId="2A248FAC" w14:textId="1112AC48" w:rsidR="00AA02A1" w:rsidRPr="00182EF9" w:rsidRDefault="002A586C" w:rsidP="009567FA">
      <w:pPr>
        <w:ind w:firstLine="567"/>
        <w:jc w:val="both"/>
        <w:rPr>
          <w:lang w:val="hr-HR"/>
        </w:rPr>
      </w:pPr>
      <w:r w:rsidRPr="00182EF9">
        <w:rPr>
          <w:lang w:val="hr-HR"/>
        </w:rPr>
        <w:t>Donacije</w:t>
      </w:r>
      <w:r w:rsidR="00C43E78" w:rsidRPr="00182EF9">
        <w:rPr>
          <w:lang w:val="hr-HR"/>
        </w:rPr>
        <w:t xml:space="preserve"> (glavna skupina 733000) </w:t>
      </w:r>
      <w:r w:rsidR="0004613F" w:rsidRPr="00182EF9">
        <w:rPr>
          <w:lang w:val="hr-HR"/>
        </w:rPr>
        <w:t>se</w:t>
      </w:r>
      <w:r w:rsidR="00F82E6A" w:rsidRPr="00182EF9">
        <w:rPr>
          <w:lang w:val="hr-HR"/>
        </w:rPr>
        <w:t xml:space="preserve">, na temelju realizacije u dosadašnjem tijeku </w:t>
      </w:r>
      <w:r w:rsidR="009567FA">
        <w:rPr>
          <w:lang w:val="hr-HR"/>
        </w:rPr>
        <w:t>2024</w:t>
      </w:r>
      <w:r w:rsidR="00F82E6A" w:rsidRPr="00182EF9">
        <w:rPr>
          <w:lang w:val="hr-HR"/>
        </w:rPr>
        <w:t xml:space="preserve">. godine kao i predviđanja za ostatak iste, ne planiraju u </w:t>
      </w:r>
      <w:r w:rsidR="0004613F" w:rsidRPr="00182EF9">
        <w:rPr>
          <w:lang w:val="hr-HR"/>
        </w:rPr>
        <w:t xml:space="preserve">Izmjenama i dopunama Proračuna Županije Posavske za </w:t>
      </w:r>
      <w:r w:rsidR="009567FA">
        <w:rPr>
          <w:lang w:val="hr-HR"/>
        </w:rPr>
        <w:t>2024</w:t>
      </w:r>
      <w:r w:rsidR="0004613F" w:rsidRPr="00182EF9">
        <w:rPr>
          <w:lang w:val="hr-HR"/>
        </w:rPr>
        <w:t>. godinu</w:t>
      </w:r>
      <w:r w:rsidR="00040703" w:rsidRPr="00182EF9">
        <w:rPr>
          <w:lang w:val="hr-HR"/>
        </w:rPr>
        <w:t>.</w:t>
      </w:r>
    </w:p>
    <w:p w14:paraId="2A248FAD" w14:textId="5C0368F0" w:rsidR="003A43B8" w:rsidRPr="00182EF9" w:rsidRDefault="003A43B8" w:rsidP="003A43B8">
      <w:pPr>
        <w:jc w:val="both"/>
        <w:rPr>
          <w:lang w:val="hr-HR"/>
        </w:rPr>
      </w:pPr>
    </w:p>
    <w:p w14:paraId="2A248FAE" w14:textId="77777777" w:rsidR="00824325" w:rsidRPr="00182EF9" w:rsidRDefault="00824325">
      <w:pPr>
        <w:ind w:firstLine="720"/>
        <w:jc w:val="both"/>
        <w:rPr>
          <w:lang w:val="hr-HR"/>
        </w:rPr>
      </w:pPr>
    </w:p>
    <w:p w14:paraId="2A248FAF" w14:textId="77777777" w:rsidR="00593A7C" w:rsidRPr="00182EF9" w:rsidRDefault="00445243">
      <w:pPr>
        <w:pStyle w:val="Naslov3"/>
        <w:jc w:val="both"/>
      </w:pPr>
      <w:r w:rsidRPr="00182EF9">
        <w:t xml:space="preserve">3.4   </w:t>
      </w:r>
      <w:r w:rsidRPr="00182EF9">
        <w:tab/>
        <w:t xml:space="preserve">KAPITALNI </w:t>
      </w:r>
      <w:r w:rsidR="00C43E78" w:rsidRPr="00182EF9">
        <w:t>GRANTOVI</w:t>
      </w:r>
    </w:p>
    <w:p w14:paraId="2A248FB0" w14:textId="77777777" w:rsidR="00593A7C" w:rsidRPr="00182EF9" w:rsidRDefault="00593A7C">
      <w:pPr>
        <w:rPr>
          <w:lang w:val="hr-HR"/>
        </w:rPr>
      </w:pPr>
    </w:p>
    <w:p w14:paraId="2A248FB1" w14:textId="589F9B66" w:rsidR="00593A7C" w:rsidRPr="00182EF9" w:rsidRDefault="00445243">
      <w:pPr>
        <w:pStyle w:val="Tijeloteksta"/>
      </w:pPr>
      <w:r w:rsidRPr="00182EF9">
        <w:tab/>
        <w:t xml:space="preserve">Kapitalni </w:t>
      </w:r>
      <w:r w:rsidR="00C43E78" w:rsidRPr="00182EF9">
        <w:t>grantovi</w:t>
      </w:r>
      <w:r w:rsidRPr="00182EF9">
        <w:t xml:space="preserve"> (kategorija </w:t>
      </w:r>
      <w:r w:rsidR="00C43E78" w:rsidRPr="00182EF9">
        <w:t>740000</w:t>
      </w:r>
      <w:r w:rsidRPr="00182EF9">
        <w:t xml:space="preserve">) planirani </w:t>
      </w:r>
      <w:r w:rsidR="00D70749" w:rsidRPr="00182EF9">
        <w:t xml:space="preserve">su </w:t>
      </w:r>
      <w:r w:rsidRPr="00182EF9">
        <w:t xml:space="preserve">u iznosu od </w:t>
      </w:r>
      <w:r w:rsidR="002B058B">
        <w:t>2.869.073</w:t>
      </w:r>
      <w:r w:rsidRPr="00182EF9">
        <w:t xml:space="preserve"> KM</w:t>
      </w:r>
      <w:r w:rsidR="00FE6DBE" w:rsidRPr="00182EF9">
        <w:t>,</w:t>
      </w:r>
      <w:r w:rsidRPr="00182EF9">
        <w:t xml:space="preserve"> i </w:t>
      </w:r>
      <w:r w:rsidR="00FE6DBE" w:rsidRPr="00182EF9">
        <w:t xml:space="preserve">radi se o </w:t>
      </w:r>
      <w:r w:rsidR="00475206" w:rsidRPr="00182EF9">
        <w:t xml:space="preserve">realiziranih </w:t>
      </w:r>
      <w:r w:rsidR="00475206">
        <w:t>kapitalnim</w:t>
      </w:r>
      <w:r w:rsidR="00475206" w:rsidRPr="00182EF9">
        <w:t xml:space="preserve"> potpora</w:t>
      </w:r>
      <w:r w:rsidR="00475206">
        <w:t>ma</w:t>
      </w:r>
      <w:r w:rsidR="00475206" w:rsidRPr="00182EF9">
        <w:t xml:space="preserve"> u razdoblju siječanj-listopad </w:t>
      </w:r>
      <w:r w:rsidR="00475206">
        <w:t>2024</w:t>
      </w:r>
      <w:r w:rsidR="00475206" w:rsidRPr="00182EF9">
        <w:t xml:space="preserve">. godine, </w:t>
      </w:r>
      <w:r w:rsidR="00475206">
        <w:t>kapitalnim</w:t>
      </w:r>
      <w:r w:rsidR="00475206" w:rsidRPr="00182EF9">
        <w:t xml:space="preserve"> potpora</w:t>
      </w:r>
      <w:r w:rsidR="00475206">
        <w:t>ma</w:t>
      </w:r>
      <w:r w:rsidR="00475206" w:rsidRPr="00182EF9">
        <w:t xml:space="preserve"> razgraničeni</w:t>
      </w:r>
      <w:r w:rsidR="00475206">
        <w:t>m</w:t>
      </w:r>
      <w:r w:rsidR="00475206" w:rsidRPr="00182EF9">
        <w:t xml:space="preserve"> na</w:t>
      </w:r>
      <w:r w:rsidR="00475206">
        <w:t xml:space="preserve"> dan</w:t>
      </w:r>
      <w:r w:rsidR="00475206" w:rsidRPr="00182EF9">
        <w:t xml:space="preserve"> 31.12.</w:t>
      </w:r>
      <w:r w:rsidR="00475206">
        <w:t>2023</w:t>
      </w:r>
      <w:r w:rsidR="00475206" w:rsidRPr="00182EF9">
        <w:t xml:space="preserve">. godine za potrošnju u </w:t>
      </w:r>
      <w:r w:rsidR="00475206">
        <w:t>2024</w:t>
      </w:r>
      <w:r w:rsidR="00475206" w:rsidRPr="00182EF9">
        <w:t>. godini,</w:t>
      </w:r>
      <w:r w:rsidR="00475206">
        <w:t xml:space="preserve"> te potpora čija se realizacija očekuje do konca 2024.</w:t>
      </w:r>
      <w:r w:rsidR="000867BC">
        <w:t>godine</w:t>
      </w:r>
      <w:r w:rsidR="00F82E6A" w:rsidRPr="00182EF9">
        <w:t>, kako slijedi</w:t>
      </w:r>
      <w:r w:rsidR="00FE6DBE" w:rsidRPr="00182EF9">
        <w:t xml:space="preserve">: </w:t>
      </w:r>
    </w:p>
    <w:p w14:paraId="2A248FB2" w14:textId="11B29D79" w:rsidR="0043542D" w:rsidRDefault="0043542D" w:rsidP="00A40AAA">
      <w:pPr>
        <w:pStyle w:val="Uvuenotijeloteksta"/>
        <w:numPr>
          <w:ilvl w:val="1"/>
          <w:numId w:val="7"/>
        </w:numPr>
        <w:spacing w:line="240" w:lineRule="auto"/>
        <w:ind w:left="709" w:hanging="425"/>
      </w:pPr>
      <w:r w:rsidRPr="00182EF9">
        <w:t xml:space="preserve">Kapitalni grantovi od inozemnih vlada i međunarodnih organizacija u ukupnom iznosu od </w:t>
      </w:r>
      <w:r w:rsidR="000867BC">
        <w:t>478.196</w:t>
      </w:r>
      <w:r w:rsidRPr="00182EF9">
        <w:t xml:space="preserve"> KM, i to:</w:t>
      </w:r>
    </w:p>
    <w:p w14:paraId="246B70B5" w14:textId="237C17DB" w:rsidR="00FA7CE0" w:rsidRDefault="00FA7CE0" w:rsidP="00E30E13">
      <w:pPr>
        <w:pStyle w:val="Uvuenotijeloteksta"/>
        <w:numPr>
          <w:ilvl w:val="1"/>
          <w:numId w:val="15"/>
        </w:numPr>
        <w:spacing w:line="240" w:lineRule="auto"/>
      </w:pPr>
      <w:r>
        <w:lastRenderedPageBreak/>
        <w:t xml:space="preserve">kapitalni grant od </w:t>
      </w:r>
      <w:r w:rsidR="00410431">
        <w:t xml:space="preserve">Središnjeg </w:t>
      </w:r>
      <w:r w:rsidR="00E00BA7">
        <w:t xml:space="preserve">državnog ureda za Hrvate izvan Republike Hrvatske dodijeljen Vladi Županije </w:t>
      </w:r>
      <w:r w:rsidR="00D24063">
        <w:t>Posavske na temelju Ugovora o financijskoj potpori za provedbu programa/projekta „Druga faza izgradnje Vatrogasnog doma“</w:t>
      </w:r>
      <w:r w:rsidR="00294DB6">
        <w:t xml:space="preserve"> u iznosu od 185.804 KM (95.000 eura),</w:t>
      </w:r>
    </w:p>
    <w:p w14:paraId="1EED5272" w14:textId="267DEA87" w:rsidR="004B0356" w:rsidRDefault="00294BD8" w:rsidP="00E30E13">
      <w:pPr>
        <w:pStyle w:val="Uvuenotijeloteksta"/>
        <w:numPr>
          <w:ilvl w:val="1"/>
          <w:numId w:val="15"/>
        </w:numPr>
        <w:spacing w:line="240" w:lineRule="auto"/>
      </w:pPr>
      <w:r>
        <w:t xml:space="preserve">kapitalni grant od </w:t>
      </w:r>
      <w:r w:rsidR="009979BD">
        <w:t>Ministarstva regionalnog razvoja i fondova Europske unije dodijeljen Ministarstvu gospodarstva, rada i prostornog uređenja Županije Posavske na temelju Ugovora</w:t>
      </w:r>
      <w:r w:rsidR="001F6B6B">
        <w:t xml:space="preserve"> o financiranju provedbe projekta „Igranje danas, planiranje za sutra: Dječje igralište</w:t>
      </w:r>
      <w:r w:rsidR="00D6610C">
        <w:t xml:space="preserve"> i zajednička vizija plinske budućnosti“</w:t>
      </w:r>
      <w:r w:rsidR="00651BBE">
        <w:t xml:space="preserve"> (program prekogranične suradnje)</w:t>
      </w:r>
      <w:r w:rsidR="00D6610C">
        <w:t xml:space="preserve"> u iznosu od </w:t>
      </w:r>
      <w:r w:rsidR="001003BD">
        <w:t>41.072 KM (21.000 eura),</w:t>
      </w:r>
    </w:p>
    <w:p w14:paraId="40B430BC" w14:textId="22FA813A" w:rsidR="001003BD" w:rsidRDefault="001003BD" w:rsidP="00E30E13">
      <w:pPr>
        <w:pStyle w:val="Uvuenotijeloteksta"/>
        <w:numPr>
          <w:ilvl w:val="1"/>
          <w:numId w:val="15"/>
        </w:numPr>
        <w:spacing w:line="240" w:lineRule="auto"/>
      </w:pPr>
      <w:r>
        <w:t xml:space="preserve">razgraničeni kapitalni grant od </w:t>
      </w:r>
      <w:r w:rsidR="00BA7ED3">
        <w:t>Središnjeg državnog ureda</w:t>
      </w:r>
      <w:r w:rsidR="00113EB2">
        <w:t xml:space="preserve"> za Hrvate izvan Republike Hrvatske dodijeljen Ministarstvu prosvjete, znanosti, kulture i sporta Županije Posavske</w:t>
      </w:r>
      <w:r w:rsidR="002F31FD">
        <w:t xml:space="preserve"> na temelju Ugovora o financijskoj potpori za provedbu programa/projekta</w:t>
      </w:r>
      <w:r w:rsidR="001D66E0">
        <w:t xml:space="preserve"> „Izgradnja vanjskih sportskih terena Školskog centra fra Martina Nedića Orašje – I.faza“ u iznosu od </w:t>
      </w:r>
      <w:r w:rsidR="007D672B">
        <w:t>136.909 KM (70.000 eura),</w:t>
      </w:r>
    </w:p>
    <w:p w14:paraId="7C6C2675" w14:textId="6C0A8A35" w:rsidR="00E30E13" w:rsidRDefault="00E30E13" w:rsidP="00E30E13">
      <w:pPr>
        <w:pStyle w:val="Uvuenotijeloteksta"/>
        <w:numPr>
          <w:ilvl w:val="1"/>
          <w:numId w:val="15"/>
        </w:numPr>
        <w:spacing w:line="240" w:lineRule="auto"/>
      </w:pPr>
      <w:r>
        <w:t>kapitalni grant od Središnjeg državnog ureda za Hrvate izvan Republike Hrvatske dodijeljen Osnovnoj školi Vladimira Nazora u Odžaku na temelju Ugovora o dodjeli financijske potpore projektu „Uređenje ženske svlačionice u Centralnoj školi“ u iznosu od 8.31</w:t>
      </w:r>
      <w:r w:rsidR="007D672B">
        <w:t>3</w:t>
      </w:r>
      <w:r>
        <w:t xml:space="preserve"> KM</w:t>
      </w:r>
      <w:r w:rsidR="007D672B">
        <w:t xml:space="preserve"> (4.250 eura)</w:t>
      </w:r>
      <w:r>
        <w:t xml:space="preserve">, </w:t>
      </w:r>
    </w:p>
    <w:p w14:paraId="1D245E39" w14:textId="1FAB3E77" w:rsidR="00F608B3" w:rsidRDefault="00C202A9" w:rsidP="00E30E13">
      <w:pPr>
        <w:pStyle w:val="Uvuenotijeloteksta"/>
        <w:numPr>
          <w:ilvl w:val="1"/>
          <w:numId w:val="15"/>
        </w:numPr>
        <w:spacing w:line="240" w:lineRule="auto"/>
      </w:pPr>
      <w:r>
        <w:t>kapitalni grant od Ministarstva regionalnog razvoja i fondova Europske unije dodijeljen</w:t>
      </w:r>
      <w:r w:rsidR="00126F87">
        <w:t xml:space="preserve"> Osnovnoj školi Ruđera Boškovića u Donjoj Mahali na temelju</w:t>
      </w:r>
      <w:r w:rsidR="00975083">
        <w:t xml:space="preserve"> Ugovora o financiranju provedbe projekta „Iz produženog boravka</w:t>
      </w:r>
      <w:r w:rsidR="00B77971">
        <w:t xml:space="preserve"> u vanjsku učionicu“</w:t>
      </w:r>
      <w:r w:rsidR="00651BBE">
        <w:t xml:space="preserve"> (program prekogranične suradnje)</w:t>
      </w:r>
      <w:r w:rsidR="00B92AF6">
        <w:t xml:space="preserve"> u iznosu od 30.121 KM (</w:t>
      </w:r>
      <w:r w:rsidR="002F232C">
        <w:t>15.401 eur</w:t>
      </w:r>
      <w:r w:rsidR="00945477">
        <w:t>a</w:t>
      </w:r>
      <w:r w:rsidR="002F232C">
        <w:t>),</w:t>
      </w:r>
    </w:p>
    <w:p w14:paraId="17689ADF" w14:textId="03D2894D" w:rsidR="002F232C" w:rsidRDefault="002B6462" w:rsidP="00E30E13">
      <w:pPr>
        <w:pStyle w:val="Uvuenotijeloteksta"/>
        <w:numPr>
          <w:ilvl w:val="1"/>
          <w:numId w:val="15"/>
        </w:numPr>
        <w:spacing w:line="240" w:lineRule="auto"/>
      </w:pPr>
      <w:r>
        <w:t xml:space="preserve">kapitalni grant od Ministarstva regionalnog razvoja i fondova Europske unije dodijeljen Osnovnoj školi </w:t>
      </w:r>
      <w:r w:rsidR="00AC1631">
        <w:t>Stjepana Radića u Boku</w:t>
      </w:r>
      <w:r>
        <w:t xml:space="preserve"> na temelju Ugovora o financiranju provedbe projekta „</w:t>
      </w:r>
      <w:r w:rsidR="00365174">
        <w:t>Mostovi rasta</w:t>
      </w:r>
      <w:r>
        <w:t xml:space="preserve">“ (program prekogranične suradnje) u iznosu od </w:t>
      </w:r>
      <w:r w:rsidR="00365174">
        <w:t>19.801</w:t>
      </w:r>
      <w:r>
        <w:t xml:space="preserve"> KM (</w:t>
      </w:r>
      <w:r w:rsidR="0027478A">
        <w:t>10.124</w:t>
      </w:r>
      <w:r>
        <w:t xml:space="preserve"> eur</w:t>
      </w:r>
      <w:r w:rsidR="0027478A">
        <w:t>a</w:t>
      </w:r>
      <w:r>
        <w:t>),</w:t>
      </w:r>
    </w:p>
    <w:p w14:paraId="5C0C4E63" w14:textId="64EAC0D3" w:rsidR="00E30E13" w:rsidRDefault="00E30E13" w:rsidP="00E30E13">
      <w:pPr>
        <w:pStyle w:val="Uvuenotijeloteksta"/>
        <w:numPr>
          <w:ilvl w:val="1"/>
          <w:numId w:val="15"/>
        </w:numPr>
        <w:spacing w:line="240" w:lineRule="auto"/>
      </w:pPr>
      <w:r w:rsidRPr="00150661">
        <w:t>kapitalni grant od Središnjeg državnog ureda za Hrvate izvan Republike Hrvatske dodijeljen Osnovnoj školi Antuna Gustava Matoša u Vidovicama na temelju Ugovora o dodjeli financijske potpore projektu „Betoniranje/asfaltiranje prilazne staze za učenike prema zgradi škole</w:t>
      </w:r>
      <w:r w:rsidR="0027478A">
        <w:t xml:space="preserve">“ u iznosu od </w:t>
      </w:r>
      <w:r w:rsidR="00BB18A7">
        <w:t>9.780 KM</w:t>
      </w:r>
      <w:r w:rsidRPr="00150661">
        <w:t xml:space="preserve"> (5.000 eura)</w:t>
      </w:r>
      <w:r w:rsidR="00BB18A7">
        <w:t>, i</w:t>
      </w:r>
    </w:p>
    <w:p w14:paraId="646F3A2C" w14:textId="11E07F58" w:rsidR="00BB18A7" w:rsidRPr="00150661" w:rsidRDefault="00BB18A7" w:rsidP="00E30E13">
      <w:pPr>
        <w:pStyle w:val="Uvuenotijeloteksta"/>
        <w:numPr>
          <w:ilvl w:val="1"/>
          <w:numId w:val="15"/>
        </w:numPr>
        <w:spacing w:line="240" w:lineRule="auto"/>
      </w:pPr>
      <w:r>
        <w:t>kapitalni grant</w:t>
      </w:r>
      <w:r w:rsidR="00CE5009">
        <w:t xml:space="preserve"> od Ministarstva regionalnog razvoja i fondova Europske unije dodijeljen Županijskoj upravi civilne zaštite Orašje</w:t>
      </w:r>
      <w:r w:rsidR="003F6D88">
        <w:t xml:space="preserve"> na temelju Ugovora o financiranju provedbe projekta „Projekt nabave opreme za JVP Vinkovci i Županijsku upravu civilne zaštite Orašje“ (program prekogranične suradnje)</w:t>
      </w:r>
      <w:r w:rsidR="00645011">
        <w:t xml:space="preserve"> u iznosu od 46.396 KM (23.722 eura).</w:t>
      </w:r>
    </w:p>
    <w:p w14:paraId="2A248FB7" w14:textId="6A5E2DCB" w:rsidR="0068592A" w:rsidRPr="00182EF9" w:rsidRDefault="0068592A" w:rsidP="00A40AAA">
      <w:pPr>
        <w:pStyle w:val="Uvuenotijeloteksta"/>
        <w:numPr>
          <w:ilvl w:val="0"/>
          <w:numId w:val="9"/>
        </w:numPr>
        <w:spacing w:line="240" w:lineRule="auto"/>
      </w:pPr>
      <w:r w:rsidRPr="00182EF9">
        <w:t xml:space="preserve">Kapitalni grantovi od ostalih razina vlasti u ukupnom iznosu od </w:t>
      </w:r>
      <w:r w:rsidR="00645011">
        <w:t>2.390.877</w:t>
      </w:r>
      <w:r w:rsidRPr="00182EF9">
        <w:t xml:space="preserve"> KM, i to:</w:t>
      </w:r>
    </w:p>
    <w:p w14:paraId="0E4DA084" w14:textId="77777777" w:rsidR="00126084" w:rsidRDefault="00126084" w:rsidP="00126084">
      <w:pPr>
        <w:pStyle w:val="Uvuenotijeloteksta"/>
        <w:numPr>
          <w:ilvl w:val="1"/>
          <w:numId w:val="14"/>
        </w:numPr>
        <w:spacing w:line="240" w:lineRule="auto"/>
      </w:pPr>
      <w:r w:rsidRPr="00150661">
        <w:t xml:space="preserve">kapitalni grant od Federalnog ministarstva prometa i komunikacija dodijeljen Vladi Županije Posavske na temelju Ugovora o načinu utroška odobrenih sredstava i implementacije za slijedeći projekt: Sanacija regionalnih cesta u Posavskom kantonu od 20.04.2023. godine u iznosu od 249.233 KM (refundacija sredstava na osnovi namjenske potrošnje u 2023. godini), </w:t>
      </w:r>
    </w:p>
    <w:p w14:paraId="5313950F" w14:textId="7F017EA9" w:rsidR="00126084" w:rsidRDefault="00126084" w:rsidP="00126084">
      <w:pPr>
        <w:pStyle w:val="Uvuenotijeloteksta"/>
        <w:numPr>
          <w:ilvl w:val="1"/>
          <w:numId w:val="14"/>
        </w:numPr>
        <w:spacing w:line="240" w:lineRule="auto"/>
      </w:pPr>
      <w:r w:rsidRPr="00150661">
        <w:t xml:space="preserve">kapitalni grant od Federalnog ministarstva </w:t>
      </w:r>
      <w:r>
        <w:t>prostornog uređenja</w:t>
      </w:r>
      <w:r w:rsidRPr="00150661">
        <w:t xml:space="preserve"> dodijeljen Vladi Županije Posavske na temelju Ugovora o </w:t>
      </w:r>
      <w:r>
        <w:t xml:space="preserve">sufinanciranju projekta „Zamjena krova na zgradi Vlade Županije Posavske Orašje“ </w:t>
      </w:r>
      <w:r w:rsidRPr="00150661">
        <w:t xml:space="preserve">u iznosu od </w:t>
      </w:r>
      <w:r>
        <w:t>90.000</w:t>
      </w:r>
      <w:r w:rsidRPr="00150661">
        <w:t xml:space="preserve"> KM</w:t>
      </w:r>
      <w:r>
        <w:t>,</w:t>
      </w:r>
    </w:p>
    <w:p w14:paraId="314A47A0" w14:textId="61D45899" w:rsidR="00126084" w:rsidRDefault="00126084" w:rsidP="00126084">
      <w:pPr>
        <w:pStyle w:val="Uvuenotijeloteksta"/>
        <w:numPr>
          <w:ilvl w:val="1"/>
          <w:numId w:val="14"/>
        </w:numPr>
        <w:spacing w:line="240" w:lineRule="auto"/>
      </w:pPr>
      <w:r w:rsidRPr="00150661">
        <w:t xml:space="preserve">kapitalni grant od Federalnog ministarstva </w:t>
      </w:r>
      <w:r>
        <w:t>prostornog uređenja</w:t>
      </w:r>
      <w:r w:rsidRPr="00150661">
        <w:t xml:space="preserve"> dodijeljen Vladi Županije Posavske na temelju Ugovora o </w:t>
      </w:r>
      <w:r>
        <w:t>sufinanciranju projekta „Zamjena krova na zgradi Općinskog suda u Orašju</w:t>
      </w:r>
      <w:r w:rsidR="000C5993">
        <w:t xml:space="preserve">“ </w:t>
      </w:r>
      <w:r w:rsidRPr="00150661">
        <w:t xml:space="preserve">u iznosu od </w:t>
      </w:r>
      <w:r>
        <w:t>90.000</w:t>
      </w:r>
      <w:r w:rsidRPr="00150661">
        <w:t xml:space="preserve"> KM</w:t>
      </w:r>
      <w:r>
        <w:t>,</w:t>
      </w:r>
    </w:p>
    <w:p w14:paraId="71F87DD2" w14:textId="54AEC080" w:rsidR="00517883" w:rsidRDefault="00837C23" w:rsidP="00126084">
      <w:pPr>
        <w:pStyle w:val="Uvuenotijeloteksta"/>
        <w:numPr>
          <w:ilvl w:val="1"/>
          <w:numId w:val="14"/>
        </w:numPr>
        <w:spacing w:line="240" w:lineRule="auto"/>
      </w:pPr>
      <w:r>
        <w:t xml:space="preserve">razgraničeni kapitalni grant od Federalnog </w:t>
      </w:r>
      <w:r w:rsidR="00DE3216">
        <w:t xml:space="preserve">ministarstva raseljenih osoba i izbjeglica dodijeljen Ministarstvu prometa, veza i zaštite okoliša Županije Posavske na temelju Ugovora o </w:t>
      </w:r>
      <w:r w:rsidR="00613235">
        <w:t>namjenskom korištenju</w:t>
      </w:r>
      <w:r w:rsidR="00437606">
        <w:t xml:space="preserve"> don</w:t>
      </w:r>
      <w:r w:rsidR="00307EC5">
        <w:t xml:space="preserve">iranih sredstava za projekt </w:t>
      </w:r>
      <w:r w:rsidR="007E2F3A">
        <w:t xml:space="preserve"> „Sanacija </w:t>
      </w:r>
      <w:r w:rsidR="007E2F3A">
        <w:lastRenderedPageBreak/>
        <w:t>i rekonstrukcija lokalnih cesta na području Općine Odžak – Omladinska ulica“</w:t>
      </w:r>
      <w:r w:rsidR="0011423A">
        <w:t xml:space="preserve"> u iznosu od 72.718 KM,</w:t>
      </w:r>
    </w:p>
    <w:p w14:paraId="09AAA38A" w14:textId="608D9985" w:rsidR="00126084" w:rsidRDefault="00126084" w:rsidP="00126084">
      <w:pPr>
        <w:pStyle w:val="Uvuenotijeloteksta"/>
        <w:numPr>
          <w:ilvl w:val="1"/>
          <w:numId w:val="16"/>
        </w:numPr>
        <w:spacing w:line="240" w:lineRule="auto"/>
      </w:pPr>
      <w:r w:rsidRPr="00150661">
        <w:t xml:space="preserve">kapitalni grant od Federalnog ministarstva okoliša i turizma dodijeljen Ministarstvu prometa, veza i zaštite okoliša Županije Posavske na temelju Ugovora </w:t>
      </w:r>
      <w:r w:rsidR="00B87398">
        <w:t xml:space="preserve">o </w:t>
      </w:r>
      <w:r w:rsidR="00B87398" w:rsidRPr="00150661">
        <w:t>sufinanciranj</w:t>
      </w:r>
      <w:r w:rsidR="00B87398">
        <w:t>u</w:t>
      </w:r>
      <w:r w:rsidR="00B87398" w:rsidRPr="00150661">
        <w:t xml:space="preserve"> projekta „Izrada stručnih obrazloženja za proglašenje bare Tišine i bare Starače zaštićenim područjem“</w:t>
      </w:r>
      <w:r w:rsidR="00B87398">
        <w:t xml:space="preserve"> </w:t>
      </w:r>
      <w:r w:rsidRPr="00150661">
        <w:t xml:space="preserve">u iznosu od 22.126 KM, </w:t>
      </w:r>
    </w:p>
    <w:p w14:paraId="0A2CADCF" w14:textId="53CB923A" w:rsidR="005F0E59" w:rsidRDefault="005F0E59" w:rsidP="00126084">
      <w:pPr>
        <w:pStyle w:val="Uvuenotijeloteksta"/>
        <w:numPr>
          <w:ilvl w:val="1"/>
          <w:numId w:val="16"/>
        </w:numPr>
        <w:spacing w:line="240" w:lineRule="auto"/>
      </w:pPr>
      <w:r>
        <w:t xml:space="preserve">kapitalni grant </w:t>
      </w:r>
      <w:r w:rsidR="002E3893">
        <w:t>od Federalnog ministarstva prometa i komunikacija dodijeljen Ministarstvu prometa, veza i zaštite okoliša Županije Posavske na temelju Ugovora o financiranju projekta „Sanacija regionalnih cesta na području Županije Posavske“ u iznosu od 1.500.000 KM</w:t>
      </w:r>
      <w:r w:rsidR="007003C2">
        <w:t>,</w:t>
      </w:r>
    </w:p>
    <w:p w14:paraId="72509383" w14:textId="2760C8DB" w:rsidR="00126084" w:rsidRPr="00893F8B" w:rsidRDefault="00126084" w:rsidP="00126084">
      <w:pPr>
        <w:pStyle w:val="Uvuenotijeloteksta"/>
        <w:numPr>
          <w:ilvl w:val="1"/>
          <w:numId w:val="16"/>
        </w:numPr>
        <w:spacing w:line="240" w:lineRule="auto"/>
      </w:pPr>
      <w:r>
        <w:t xml:space="preserve">kapitalni grant od Federalnog ministarstva prostornog uređenja dodijeljen Ministarstvu prosvjete, znanosti, kulture i sporta Županije Posavske na temelju Ugovora o sufinanciranju projekta „Provođenje mjera energijske učinkovitosti na objektu velike sportske dvorane Srednje škole Pere Zečevića Odžak I.faza“ </w:t>
      </w:r>
      <w:r w:rsidRPr="00893F8B">
        <w:t>u iznosu od 100.000 KM,</w:t>
      </w:r>
    </w:p>
    <w:p w14:paraId="1837F324" w14:textId="56280962" w:rsidR="00126084" w:rsidRDefault="00126084" w:rsidP="00126084">
      <w:pPr>
        <w:pStyle w:val="Uvuenotijeloteksta"/>
        <w:numPr>
          <w:ilvl w:val="1"/>
          <w:numId w:val="16"/>
        </w:numPr>
        <w:spacing w:line="240" w:lineRule="auto"/>
      </w:pPr>
      <w:r>
        <w:t xml:space="preserve">kapitalni grant od Federalnog ministarstva prostornog uređenja dodijeljen Ministarstvu prosvjete, znanosti, kulture i sporta Županije Posavske na temelju Ugovora o sufinanciranju projekta „Provođenje mjera energijske učinkovitosti na objektu Srednje strukovne škole Orašje“ u iznosu od 90.000 KM, </w:t>
      </w:r>
    </w:p>
    <w:p w14:paraId="76C7A85D" w14:textId="603000F7" w:rsidR="00E21B45" w:rsidRDefault="00846986" w:rsidP="00126084">
      <w:pPr>
        <w:pStyle w:val="Uvuenotijeloteksta"/>
        <w:numPr>
          <w:ilvl w:val="1"/>
          <w:numId w:val="16"/>
        </w:numPr>
        <w:spacing w:line="240" w:lineRule="auto"/>
      </w:pPr>
      <w:r>
        <w:t xml:space="preserve">kapitalni grant od </w:t>
      </w:r>
      <w:r w:rsidR="00BB2108">
        <w:t>F</w:t>
      </w:r>
      <w:r>
        <w:t>onda</w:t>
      </w:r>
      <w:r w:rsidR="00956A0C">
        <w:t xml:space="preserve"> za zaštitu okoliša Federacije BiH dodijeljen Ministarstvu prosvjete, znanosti, kulture i sporta Županije Posavske na temelju Ugovora o dodjeli financijskih sredstava</w:t>
      </w:r>
      <w:r w:rsidR="00984E79">
        <w:t xml:space="preserve"> za realizaciju projekta „Provođenje mjera energetske učinkovitosti na anexu objekt</w:t>
      </w:r>
      <w:r w:rsidR="00BF6D5C">
        <w:t xml:space="preserve">a Srednje škole Pere Zečevića u Odžaku“ u iznosu od </w:t>
      </w:r>
      <w:r w:rsidR="00760853">
        <w:t>55.700</w:t>
      </w:r>
      <w:r w:rsidR="00BF6D5C">
        <w:t xml:space="preserve"> KM,</w:t>
      </w:r>
    </w:p>
    <w:p w14:paraId="35776AF2" w14:textId="7BCE10CD" w:rsidR="00126084" w:rsidRDefault="00126084" w:rsidP="00126084">
      <w:pPr>
        <w:pStyle w:val="Uvuenotijeloteksta"/>
        <w:numPr>
          <w:ilvl w:val="1"/>
          <w:numId w:val="16"/>
        </w:numPr>
        <w:spacing w:line="240" w:lineRule="auto"/>
      </w:pPr>
      <w:r>
        <w:t xml:space="preserve">kapitalni grant od Federalnog ministarstva prostornog uređenja dodijeljen Županijskoj upravi civilne zaštite na temelju Ugovora o sufinanciranju projekta </w:t>
      </w:r>
      <w:r w:rsidRPr="000E3D6A">
        <w:t xml:space="preserve">„Utopljavanje zgrade vatrogasnog doma u Odžaku“ </w:t>
      </w:r>
      <w:r>
        <w:t>u iznosu od 70.000 KM</w:t>
      </w:r>
      <w:r w:rsidR="00760853">
        <w:t>, i</w:t>
      </w:r>
    </w:p>
    <w:p w14:paraId="3E6EC11C" w14:textId="2EF0037C" w:rsidR="00760853" w:rsidRPr="00150661" w:rsidRDefault="00BE2FB3" w:rsidP="00126084">
      <w:pPr>
        <w:pStyle w:val="Uvuenotijeloteksta"/>
        <w:numPr>
          <w:ilvl w:val="1"/>
          <w:numId w:val="16"/>
        </w:numPr>
        <w:spacing w:line="240" w:lineRule="auto"/>
      </w:pPr>
      <w:r>
        <w:t xml:space="preserve">kapitalni grant od </w:t>
      </w:r>
      <w:r w:rsidR="00F43DD6">
        <w:t>F</w:t>
      </w:r>
      <w:r>
        <w:t xml:space="preserve">onda za zaštitu okoliša Federacije BiH dodijeljen Kantonalnom sudu Odžak na temelju Ugovora o </w:t>
      </w:r>
      <w:r w:rsidR="00F43DD6">
        <w:t xml:space="preserve">financiranju projekta </w:t>
      </w:r>
      <w:r w:rsidR="0060205A">
        <w:t>„Javni konkurs za dodjelu sredstava za realizaciju programa, projekata i sličnih aktivnosti</w:t>
      </w:r>
      <w:r w:rsidR="001A4E10">
        <w:t xml:space="preserve"> iz područja zaštite okoliša“</w:t>
      </w:r>
      <w:r>
        <w:t xml:space="preserve"> u iznosu od 51</w:t>
      </w:r>
      <w:r w:rsidR="00760853">
        <w:t>.100</w:t>
      </w:r>
      <w:r>
        <w:t xml:space="preserve"> KM.</w:t>
      </w:r>
    </w:p>
    <w:p w14:paraId="2A248FBE" w14:textId="77777777" w:rsidR="001F3CB7" w:rsidRPr="00182EF9" w:rsidRDefault="001F3CB7" w:rsidP="001F3CB7">
      <w:pPr>
        <w:pStyle w:val="Uvuenotijeloteksta"/>
        <w:spacing w:line="240" w:lineRule="auto"/>
        <w:ind w:left="1080" w:firstLine="0"/>
      </w:pPr>
    </w:p>
    <w:p w14:paraId="2A248FBF" w14:textId="77777777" w:rsidR="00617956" w:rsidRPr="00182EF9" w:rsidRDefault="00617956">
      <w:pPr>
        <w:pStyle w:val="Tijeloteksta"/>
      </w:pPr>
    </w:p>
    <w:p w14:paraId="2A248FC0" w14:textId="77777777" w:rsidR="006754C0" w:rsidRPr="00182EF9" w:rsidRDefault="00B87699" w:rsidP="00B87699">
      <w:pPr>
        <w:pStyle w:val="Naslov3"/>
        <w:jc w:val="both"/>
      </w:pPr>
      <w:r w:rsidRPr="00182EF9">
        <w:t xml:space="preserve">3.5 </w:t>
      </w:r>
      <w:r w:rsidRPr="00182EF9">
        <w:tab/>
      </w:r>
      <w:r w:rsidR="006754C0" w:rsidRPr="00182EF9">
        <w:t>PRIHODI PO OSNOVI ZAOSTALIH OBVEZA</w:t>
      </w:r>
    </w:p>
    <w:p w14:paraId="2A248FC1" w14:textId="77777777" w:rsidR="006754C0" w:rsidRPr="00182EF9" w:rsidRDefault="006754C0" w:rsidP="006754C0">
      <w:pPr>
        <w:jc w:val="both"/>
        <w:rPr>
          <w:lang w:val="hr-HR"/>
        </w:rPr>
      </w:pPr>
    </w:p>
    <w:p w14:paraId="2A248FC2" w14:textId="49CEFEF3" w:rsidR="006754C0" w:rsidRPr="00182EF9" w:rsidRDefault="006754C0" w:rsidP="006754C0">
      <w:pPr>
        <w:ind w:firstLine="720"/>
        <w:jc w:val="both"/>
        <w:rPr>
          <w:lang w:val="hr-HR"/>
        </w:rPr>
      </w:pPr>
      <w:r w:rsidRPr="00182EF9">
        <w:rPr>
          <w:lang w:val="hr-HR"/>
        </w:rPr>
        <w:t>Prihodi po osnovi zaostalih obveza (glavna kategorija 770000</w:t>
      </w:r>
      <w:r w:rsidR="00DC4863" w:rsidRPr="00182EF9">
        <w:rPr>
          <w:lang w:val="hr-HR"/>
        </w:rPr>
        <w:t>)</w:t>
      </w:r>
      <w:r w:rsidRPr="00182EF9">
        <w:rPr>
          <w:lang w:val="hr-HR"/>
        </w:rPr>
        <w:t xml:space="preserve"> planirani su u </w:t>
      </w:r>
      <w:r w:rsidR="00485A09" w:rsidRPr="00182EF9">
        <w:rPr>
          <w:lang w:val="hr-HR"/>
        </w:rPr>
        <w:t xml:space="preserve">iznosu od </w:t>
      </w:r>
      <w:r w:rsidR="00EE06C8">
        <w:rPr>
          <w:lang w:val="hr-HR"/>
        </w:rPr>
        <w:t>1.210</w:t>
      </w:r>
      <w:r w:rsidRPr="00182EF9">
        <w:rPr>
          <w:lang w:val="hr-HR"/>
        </w:rPr>
        <w:t xml:space="preserve"> KM</w:t>
      </w:r>
      <w:r w:rsidR="00485A09" w:rsidRPr="00182EF9">
        <w:rPr>
          <w:lang w:val="hr-HR"/>
        </w:rPr>
        <w:t xml:space="preserve"> i </w:t>
      </w:r>
      <w:r w:rsidR="00F94E2E" w:rsidRPr="00182EF9">
        <w:rPr>
          <w:lang w:val="hr-HR"/>
        </w:rPr>
        <w:t>manji</w:t>
      </w:r>
      <w:r w:rsidR="006A0072" w:rsidRPr="00182EF9">
        <w:rPr>
          <w:lang w:val="hr-HR"/>
        </w:rPr>
        <w:t xml:space="preserve"> su od prethodno planiranih za </w:t>
      </w:r>
      <w:r w:rsidR="00EE06C8">
        <w:rPr>
          <w:lang w:val="hr-HR"/>
        </w:rPr>
        <w:t>130</w:t>
      </w:r>
      <w:r w:rsidR="006A0072" w:rsidRPr="00182EF9">
        <w:rPr>
          <w:lang w:val="hr-HR"/>
        </w:rPr>
        <w:t xml:space="preserve"> KM</w:t>
      </w:r>
      <w:r w:rsidR="00485A09" w:rsidRPr="00182EF9">
        <w:rPr>
          <w:lang w:val="hr-HR"/>
        </w:rPr>
        <w:t>.</w:t>
      </w:r>
      <w:r w:rsidRPr="00182EF9">
        <w:rPr>
          <w:lang w:val="hr-HR"/>
        </w:rPr>
        <w:t xml:space="preserve"> </w:t>
      </w:r>
      <w:r w:rsidR="000E6C52" w:rsidRPr="00182EF9">
        <w:rPr>
          <w:lang w:val="hr-HR"/>
        </w:rPr>
        <w:t>Plan se temelji na realizaciji ovih prihoda u razdoblju siječanj-</w:t>
      </w:r>
      <w:r w:rsidR="00F36333">
        <w:rPr>
          <w:lang w:val="hr-HR"/>
        </w:rPr>
        <w:t>listopad</w:t>
      </w:r>
      <w:r w:rsidR="00B20CA1" w:rsidRPr="00182EF9">
        <w:rPr>
          <w:lang w:val="hr-HR"/>
        </w:rPr>
        <w:t xml:space="preserve"> </w:t>
      </w:r>
      <w:r w:rsidR="00F36333">
        <w:rPr>
          <w:lang w:val="hr-HR"/>
        </w:rPr>
        <w:t>2024</w:t>
      </w:r>
      <w:r w:rsidR="000E6C52" w:rsidRPr="00182EF9">
        <w:rPr>
          <w:lang w:val="hr-HR"/>
        </w:rPr>
        <w:t>. godine.</w:t>
      </w:r>
    </w:p>
    <w:p w14:paraId="2A248FC3" w14:textId="77777777" w:rsidR="006754C0" w:rsidRPr="00182EF9" w:rsidRDefault="006754C0" w:rsidP="006754C0">
      <w:pPr>
        <w:jc w:val="both"/>
        <w:rPr>
          <w:lang w:val="hr-HR"/>
        </w:rPr>
      </w:pPr>
    </w:p>
    <w:p w14:paraId="2A248FC4" w14:textId="77777777" w:rsidR="00DF3AFB" w:rsidRPr="00182EF9" w:rsidRDefault="00DF3AFB" w:rsidP="006754C0">
      <w:pPr>
        <w:jc w:val="both"/>
        <w:rPr>
          <w:lang w:val="hr-HR"/>
        </w:rPr>
      </w:pPr>
    </w:p>
    <w:p w14:paraId="2A248FC5" w14:textId="77777777" w:rsidR="006754C0" w:rsidRPr="00182EF9" w:rsidRDefault="006754C0" w:rsidP="006754C0">
      <w:pPr>
        <w:pStyle w:val="Naslov3"/>
        <w:jc w:val="both"/>
      </w:pPr>
      <w:r w:rsidRPr="00182EF9">
        <w:t>3.6</w:t>
      </w:r>
      <w:r w:rsidRPr="00182EF9">
        <w:tab/>
        <w:t>KAPITALNI PRIMICI</w:t>
      </w:r>
    </w:p>
    <w:p w14:paraId="2A248FC6" w14:textId="77777777" w:rsidR="006754C0" w:rsidRPr="00182EF9" w:rsidRDefault="006754C0" w:rsidP="006754C0">
      <w:pPr>
        <w:rPr>
          <w:sz w:val="16"/>
          <w:szCs w:val="16"/>
          <w:lang w:val="hr-HR"/>
        </w:rPr>
      </w:pPr>
    </w:p>
    <w:p w14:paraId="2A248FC7" w14:textId="3D4FCA5A" w:rsidR="0032477F" w:rsidRPr="00182EF9" w:rsidRDefault="00F94E2E" w:rsidP="0032477F">
      <w:pPr>
        <w:pStyle w:val="Uvuenotijeloteksta"/>
        <w:spacing w:line="240" w:lineRule="auto"/>
      </w:pPr>
      <w:r w:rsidRPr="00182EF9">
        <w:t xml:space="preserve">Izmjenama i dopunama Proračuna Županije Posavske za </w:t>
      </w:r>
      <w:r w:rsidR="000C521C">
        <w:t>2024</w:t>
      </w:r>
      <w:r w:rsidRPr="00182EF9">
        <w:t>. godinu, kao i prvobitnim Proračunom, ne planiraju se k</w:t>
      </w:r>
      <w:r w:rsidR="00511C4E" w:rsidRPr="00182EF9">
        <w:t>apitalni primici</w:t>
      </w:r>
      <w:r w:rsidR="00B87699" w:rsidRPr="00182EF9">
        <w:t xml:space="preserve"> </w:t>
      </w:r>
      <w:r w:rsidR="00511C4E" w:rsidRPr="00182EF9">
        <w:t>(kategorija 810000).</w:t>
      </w:r>
    </w:p>
    <w:p w14:paraId="2A248FC8" w14:textId="77777777" w:rsidR="005B0E08" w:rsidRDefault="005B0E08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1FD93EF3" w14:textId="77777777" w:rsidR="000C521C" w:rsidRPr="00182EF9" w:rsidRDefault="000C521C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2A248FC9" w14:textId="77777777" w:rsidR="00604C61" w:rsidRDefault="00604C61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0168A044" w14:textId="77777777" w:rsidR="00784A06" w:rsidRDefault="00784A06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0E716DB1" w14:textId="77777777" w:rsidR="00784A06" w:rsidRDefault="00784A06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35EFF54B" w14:textId="77777777" w:rsidR="00784A06" w:rsidRDefault="00784A06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50CF5938" w14:textId="77777777" w:rsidR="00784A06" w:rsidRDefault="00784A06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6CC36475" w14:textId="77777777" w:rsidR="00784A06" w:rsidRDefault="00784A06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087E385E" w14:textId="77777777" w:rsidR="00784A06" w:rsidRPr="00182EF9" w:rsidRDefault="00784A06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p w14:paraId="2A248FCA" w14:textId="77777777" w:rsidR="00617956" w:rsidRPr="00182EF9" w:rsidRDefault="00617956" w:rsidP="006754C0">
      <w:pPr>
        <w:autoSpaceDE w:val="0"/>
        <w:autoSpaceDN w:val="0"/>
        <w:adjustRightInd w:val="0"/>
        <w:ind w:left="720"/>
        <w:jc w:val="both"/>
        <w:rPr>
          <w:sz w:val="20"/>
          <w:szCs w:val="20"/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593A7C" w:rsidRPr="00182EF9" w14:paraId="2A248FCD" w14:textId="77777777">
        <w:tc>
          <w:tcPr>
            <w:tcW w:w="828" w:type="dxa"/>
            <w:shd w:val="clear" w:color="auto" w:fill="404040"/>
          </w:tcPr>
          <w:p w14:paraId="2A248FCB" w14:textId="77777777" w:rsidR="00593A7C" w:rsidRPr="00182EF9" w:rsidRDefault="006B3383">
            <w:pPr>
              <w:pStyle w:val="Naslov"/>
              <w:rPr>
                <w:color w:val="FFFFFF"/>
              </w:rPr>
            </w:pPr>
            <w:r w:rsidRPr="00182EF9">
              <w:rPr>
                <w:color w:val="FFFFFF"/>
              </w:rPr>
              <w:t>5</w:t>
            </w:r>
            <w:r w:rsidR="00445243" w:rsidRPr="00182EF9">
              <w:rPr>
                <w:color w:val="FFFFFF"/>
              </w:rPr>
              <w:t>.</w:t>
            </w:r>
          </w:p>
        </w:tc>
        <w:tc>
          <w:tcPr>
            <w:tcW w:w="8771" w:type="dxa"/>
          </w:tcPr>
          <w:p w14:paraId="2A248FCC" w14:textId="2EA3FD79" w:rsidR="00593A7C" w:rsidRPr="00182EF9" w:rsidRDefault="00445243" w:rsidP="00B87699">
            <w:pPr>
              <w:pStyle w:val="Naslov"/>
              <w:jc w:val="both"/>
            </w:pPr>
            <w:r w:rsidRPr="00182EF9">
              <w:t xml:space="preserve">STRUKTURA IZMJENA I DOPUNA PRORAČUNA ŽUPANIJE POSAVSKE ZA </w:t>
            </w:r>
            <w:r w:rsidR="000C521C">
              <w:t>2024</w:t>
            </w:r>
            <w:r w:rsidRPr="00182EF9">
              <w:t>. GODINU – RASHODI</w:t>
            </w:r>
            <w:r w:rsidR="006754C0" w:rsidRPr="00182EF9">
              <w:t xml:space="preserve"> I IZDACI</w:t>
            </w:r>
          </w:p>
        </w:tc>
      </w:tr>
    </w:tbl>
    <w:p w14:paraId="2A248FCE" w14:textId="77777777" w:rsidR="00593A7C" w:rsidRPr="00182EF9" w:rsidRDefault="00593A7C">
      <w:pPr>
        <w:jc w:val="both"/>
        <w:rPr>
          <w:lang w:val="hr-HR"/>
        </w:rPr>
      </w:pPr>
    </w:p>
    <w:p w14:paraId="2A248FCF" w14:textId="77777777" w:rsidR="00593A7C" w:rsidRPr="00182EF9" w:rsidRDefault="00593A7C">
      <w:pPr>
        <w:jc w:val="both"/>
        <w:rPr>
          <w:lang w:val="hr-HR"/>
        </w:rPr>
      </w:pPr>
    </w:p>
    <w:p w14:paraId="2A248FD0" w14:textId="6856165C" w:rsidR="00593A7C" w:rsidRPr="00182EF9" w:rsidRDefault="00445243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Izmjenama i dopunama proračuna za fiskalnu </w:t>
      </w:r>
      <w:r w:rsidR="00303F37">
        <w:rPr>
          <w:lang w:val="hr-HR"/>
        </w:rPr>
        <w:t>2024</w:t>
      </w:r>
      <w:r w:rsidRPr="00182EF9">
        <w:rPr>
          <w:lang w:val="hr-HR"/>
        </w:rPr>
        <w:t xml:space="preserve">. godinu ukupno planirani rashodi </w:t>
      </w:r>
      <w:r w:rsidR="0098529A" w:rsidRPr="00182EF9">
        <w:rPr>
          <w:lang w:val="hr-HR"/>
        </w:rPr>
        <w:t xml:space="preserve">i izdaci </w:t>
      </w:r>
      <w:r w:rsidRPr="00182EF9">
        <w:rPr>
          <w:lang w:val="hr-HR"/>
        </w:rPr>
        <w:t xml:space="preserve">iznose </w:t>
      </w:r>
      <w:r w:rsidR="0059224D">
        <w:rPr>
          <w:lang w:val="hr-HR"/>
        </w:rPr>
        <w:t>72.119.800</w:t>
      </w:r>
      <w:r w:rsidRPr="00182EF9">
        <w:rPr>
          <w:lang w:val="hr-HR"/>
        </w:rPr>
        <w:t xml:space="preserve"> KM</w:t>
      </w:r>
      <w:r w:rsidR="00A05E61" w:rsidRPr="00182EF9">
        <w:rPr>
          <w:lang w:val="hr-HR"/>
        </w:rPr>
        <w:t>,</w:t>
      </w:r>
      <w:r w:rsidRPr="00182EF9">
        <w:rPr>
          <w:lang w:val="hr-HR"/>
        </w:rPr>
        <w:t xml:space="preserve"> i </w:t>
      </w:r>
      <w:r w:rsidR="00687CE6" w:rsidRPr="00182EF9">
        <w:rPr>
          <w:lang w:val="hr-HR"/>
        </w:rPr>
        <w:t>veći</w:t>
      </w:r>
      <w:r w:rsidRPr="00182EF9">
        <w:rPr>
          <w:lang w:val="hr-HR"/>
        </w:rPr>
        <w:t xml:space="preserve"> su u odnosu na </w:t>
      </w:r>
      <w:r w:rsidR="00511C4E" w:rsidRPr="00182EF9">
        <w:rPr>
          <w:lang w:val="hr-HR"/>
        </w:rPr>
        <w:t>prethodno</w:t>
      </w:r>
      <w:r w:rsidRPr="00182EF9">
        <w:rPr>
          <w:lang w:val="hr-HR"/>
        </w:rPr>
        <w:t xml:space="preserve"> planirane rashode</w:t>
      </w:r>
      <w:r w:rsidR="00A05E61" w:rsidRPr="00182EF9">
        <w:rPr>
          <w:lang w:val="hr-HR"/>
        </w:rPr>
        <w:t xml:space="preserve"> </w:t>
      </w:r>
      <w:r w:rsidRPr="00182EF9">
        <w:rPr>
          <w:lang w:val="hr-HR"/>
        </w:rPr>
        <w:t xml:space="preserve">za </w:t>
      </w:r>
      <w:r w:rsidR="0059224D">
        <w:rPr>
          <w:lang w:val="hr-HR"/>
        </w:rPr>
        <w:t>6,76</w:t>
      </w:r>
      <w:r w:rsidRPr="00182EF9">
        <w:rPr>
          <w:lang w:val="hr-HR"/>
        </w:rPr>
        <w:t xml:space="preserve">%, odnosno u apsolutnom iznosu </w:t>
      </w:r>
      <w:r w:rsidR="00687CE6" w:rsidRPr="00182EF9">
        <w:rPr>
          <w:lang w:val="hr-HR"/>
        </w:rPr>
        <w:t>veći</w:t>
      </w:r>
      <w:r w:rsidR="00F47608" w:rsidRPr="00182EF9">
        <w:rPr>
          <w:lang w:val="hr-HR"/>
        </w:rPr>
        <w:t xml:space="preserve"> </w:t>
      </w:r>
      <w:r w:rsidRPr="00182EF9">
        <w:rPr>
          <w:lang w:val="hr-HR"/>
        </w:rPr>
        <w:t>za</w:t>
      </w:r>
      <w:r w:rsidR="008B58E3" w:rsidRPr="00182EF9">
        <w:rPr>
          <w:lang w:val="hr-HR"/>
        </w:rPr>
        <w:t xml:space="preserve"> </w:t>
      </w:r>
      <w:r w:rsidR="0024584F">
        <w:rPr>
          <w:lang w:val="hr-HR"/>
        </w:rPr>
        <w:t>4.564.307</w:t>
      </w:r>
      <w:r w:rsidRPr="00182EF9">
        <w:rPr>
          <w:lang w:val="hr-HR"/>
        </w:rPr>
        <w:t xml:space="preserve"> KM.</w:t>
      </w:r>
      <w:r w:rsidR="006B3383" w:rsidRPr="00182EF9">
        <w:rPr>
          <w:lang w:val="hr-HR"/>
        </w:rPr>
        <w:t xml:space="preserve"> Iz proračunskih </w:t>
      </w:r>
      <w:r w:rsidR="00B87699" w:rsidRPr="00182EF9">
        <w:rPr>
          <w:lang w:val="hr-HR"/>
        </w:rPr>
        <w:t>sredstava</w:t>
      </w:r>
      <w:r w:rsidR="006B3383" w:rsidRPr="00182EF9">
        <w:rPr>
          <w:lang w:val="hr-HR"/>
        </w:rPr>
        <w:t xml:space="preserve"> planira se financirati </w:t>
      </w:r>
      <w:r w:rsidR="001D4335">
        <w:rPr>
          <w:lang w:val="hr-HR"/>
        </w:rPr>
        <w:t>63.031.671</w:t>
      </w:r>
      <w:r w:rsidR="00511C4E" w:rsidRPr="00182EF9">
        <w:rPr>
          <w:lang w:val="hr-HR"/>
        </w:rPr>
        <w:t xml:space="preserve"> KM ili </w:t>
      </w:r>
      <w:r w:rsidR="00F94E2E" w:rsidRPr="00182EF9">
        <w:rPr>
          <w:lang w:val="hr-HR"/>
        </w:rPr>
        <w:t>87,</w:t>
      </w:r>
      <w:r w:rsidR="00BA73C3">
        <w:rPr>
          <w:lang w:val="hr-HR"/>
        </w:rPr>
        <w:t>40</w:t>
      </w:r>
      <w:r w:rsidR="006B3383" w:rsidRPr="00182EF9">
        <w:rPr>
          <w:lang w:val="hr-HR"/>
        </w:rPr>
        <w:t>% rashoda i izdataka, dok će se ostatak financirati iz ostalih izvora</w:t>
      </w:r>
      <w:r w:rsidR="00CA21FD" w:rsidRPr="00182EF9">
        <w:rPr>
          <w:lang w:val="hr-HR"/>
        </w:rPr>
        <w:t xml:space="preserve"> (namjenski prihodi, tekuće i kapitalne potpore i donacije).</w:t>
      </w:r>
    </w:p>
    <w:p w14:paraId="2A248FD1" w14:textId="4358D609" w:rsidR="00593A7C" w:rsidRPr="00182EF9" w:rsidRDefault="00445243">
      <w:pPr>
        <w:pStyle w:val="Tijeloteksta-uvlaka2"/>
        <w:rPr>
          <w:color w:val="auto"/>
        </w:rPr>
      </w:pPr>
      <w:r w:rsidRPr="00182EF9">
        <w:rPr>
          <w:color w:val="auto"/>
        </w:rPr>
        <w:t xml:space="preserve">Strukturu izdataka čine </w:t>
      </w:r>
      <w:r w:rsidR="008628FB" w:rsidRPr="00182EF9">
        <w:rPr>
          <w:color w:val="auto"/>
        </w:rPr>
        <w:t>proračunski rashodi</w:t>
      </w:r>
      <w:r w:rsidRPr="00182EF9">
        <w:rPr>
          <w:color w:val="auto"/>
        </w:rPr>
        <w:t xml:space="preserve"> s udjelom </w:t>
      </w:r>
      <w:r w:rsidR="003344BA">
        <w:rPr>
          <w:color w:val="auto"/>
        </w:rPr>
        <w:t>89,06</w:t>
      </w:r>
      <w:r w:rsidRPr="00182EF9">
        <w:rPr>
          <w:color w:val="auto"/>
        </w:rPr>
        <w:t xml:space="preserve">%, izdaci za nabavku </w:t>
      </w:r>
      <w:r w:rsidR="008628FB" w:rsidRPr="00182EF9">
        <w:rPr>
          <w:color w:val="auto"/>
        </w:rPr>
        <w:t>nefinancijske imovine</w:t>
      </w:r>
      <w:r w:rsidRPr="00182EF9">
        <w:rPr>
          <w:color w:val="auto"/>
        </w:rPr>
        <w:t xml:space="preserve"> s udjelom </w:t>
      </w:r>
      <w:r w:rsidR="00026596">
        <w:rPr>
          <w:color w:val="auto"/>
        </w:rPr>
        <w:t>10,23</w:t>
      </w:r>
      <w:r w:rsidRPr="00182EF9">
        <w:rPr>
          <w:color w:val="auto"/>
        </w:rPr>
        <w:t xml:space="preserve">% i izdaci za </w:t>
      </w:r>
      <w:r w:rsidR="008628FB" w:rsidRPr="00182EF9">
        <w:rPr>
          <w:color w:val="auto"/>
        </w:rPr>
        <w:t>nabavku financijske imovine i otplate dugova</w:t>
      </w:r>
      <w:r w:rsidRPr="00182EF9">
        <w:rPr>
          <w:color w:val="auto"/>
        </w:rPr>
        <w:t xml:space="preserve"> s udjelom </w:t>
      </w:r>
      <w:r w:rsidR="00B87699" w:rsidRPr="00182EF9">
        <w:rPr>
          <w:color w:val="auto"/>
        </w:rPr>
        <w:t>0,</w:t>
      </w:r>
      <w:r w:rsidR="00F94E2E" w:rsidRPr="00182EF9">
        <w:rPr>
          <w:color w:val="auto"/>
        </w:rPr>
        <w:t>7</w:t>
      </w:r>
      <w:r w:rsidR="0090044C">
        <w:rPr>
          <w:color w:val="auto"/>
        </w:rPr>
        <w:t>1</w:t>
      </w:r>
      <w:r w:rsidRPr="00182EF9">
        <w:rPr>
          <w:color w:val="auto"/>
        </w:rPr>
        <w:t>%.</w:t>
      </w:r>
    </w:p>
    <w:p w14:paraId="2A248FD2" w14:textId="1131AF1D" w:rsidR="002C27C8" w:rsidRPr="00182EF9" w:rsidRDefault="002C27C8" w:rsidP="002C27C8">
      <w:pPr>
        <w:pStyle w:val="Tijeloteksta-uvlaka2"/>
        <w:rPr>
          <w:color w:val="auto"/>
        </w:rPr>
      </w:pPr>
      <w:r w:rsidRPr="00182EF9">
        <w:rPr>
          <w:color w:val="auto"/>
        </w:rPr>
        <w:t xml:space="preserve">Na slijedećem grafu prikazan je usporedni prikaz promjene osnovnih skupina rashoda </w:t>
      </w:r>
      <w:r w:rsidR="008628FB" w:rsidRPr="00182EF9">
        <w:rPr>
          <w:color w:val="auto"/>
        </w:rPr>
        <w:t xml:space="preserve">i izdataka </w:t>
      </w:r>
      <w:r w:rsidRPr="00182EF9">
        <w:rPr>
          <w:color w:val="auto"/>
        </w:rPr>
        <w:t xml:space="preserve">u Izmjenama i dopunama proračuna Županije Posavske za </w:t>
      </w:r>
      <w:r w:rsidR="0090044C">
        <w:rPr>
          <w:color w:val="auto"/>
        </w:rPr>
        <w:t>2024</w:t>
      </w:r>
      <w:r w:rsidRPr="00182EF9">
        <w:rPr>
          <w:color w:val="auto"/>
        </w:rPr>
        <w:t>. godinu.</w:t>
      </w:r>
    </w:p>
    <w:p w14:paraId="2A248FD3" w14:textId="77777777" w:rsidR="002C27C8" w:rsidRPr="00182EF9" w:rsidRDefault="002C27C8" w:rsidP="002C27C8">
      <w:pPr>
        <w:jc w:val="both"/>
        <w:rPr>
          <w:lang w:val="hr-HR"/>
        </w:rPr>
      </w:pPr>
    </w:p>
    <w:p w14:paraId="2A248FD4" w14:textId="471EFD68" w:rsidR="002C27C8" w:rsidRPr="00182EF9" w:rsidRDefault="00234DC2" w:rsidP="002C27C8">
      <w:pPr>
        <w:jc w:val="center"/>
        <w:rPr>
          <w:lang w:val="hr-HR"/>
        </w:rPr>
      </w:pPr>
      <w:r w:rsidRPr="00182EF9">
        <w:rPr>
          <w:noProof/>
          <w:lang w:val="hr-HR"/>
        </w:rPr>
        <w:drawing>
          <wp:inline distT="0" distB="0" distL="0" distR="0" wp14:anchorId="2A249084" wp14:editId="69671B26">
            <wp:extent cx="4843145" cy="2489200"/>
            <wp:effectExtent l="0" t="0" r="0" b="0"/>
            <wp:docPr id="2" name="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A248FD5" w14:textId="77777777" w:rsidR="00593A7C" w:rsidRPr="00182EF9" w:rsidRDefault="00593A7C">
      <w:pPr>
        <w:ind w:firstLine="720"/>
        <w:jc w:val="both"/>
        <w:rPr>
          <w:lang w:val="hr-HR"/>
        </w:rPr>
      </w:pPr>
    </w:p>
    <w:p w14:paraId="2A248FD6" w14:textId="77777777" w:rsidR="00593A7C" w:rsidRPr="00182EF9" w:rsidRDefault="007A67BB">
      <w:pPr>
        <w:pStyle w:val="Naslov6"/>
        <w:spacing w:line="240" w:lineRule="auto"/>
        <w:ind w:left="0"/>
      </w:pPr>
      <w:r w:rsidRPr="00182EF9">
        <w:t>5</w:t>
      </w:r>
      <w:r w:rsidR="00445243" w:rsidRPr="00182EF9">
        <w:t xml:space="preserve">.1 </w:t>
      </w:r>
      <w:r w:rsidR="00445243" w:rsidRPr="00182EF9">
        <w:tab/>
      </w:r>
      <w:r w:rsidR="008628FB" w:rsidRPr="00182EF9">
        <w:t>PRORAČUNSKI RASHODI</w:t>
      </w:r>
    </w:p>
    <w:p w14:paraId="2A248FD7" w14:textId="77777777" w:rsidR="00593A7C" w:rsidRPr="00182EF9" w:rsidRDefault="00593A7C">
      <w:pPr>
        <w:rPr>
          <w:lang w:val="hr-HR"/>
        </w:rPr>
      </w:pPr>
    </w:p>
    <w:p w14:paraId="2A248FD8" w14:textId="0D836F68" w:rsidR="00593A7C" w:rsidRPr="00182EF9" w:rsidRDefault="00445243" w:rsidP="007D3AE4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182EF9">
        <w:rPr>
          <w:lang w:val="hr-HR"/>
        </w:rPr>
        <w:t>Ukupno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planirani</w:t>
      </w:r>
      <w:r w:rsidR="008628FB" w:rsidRPr="00182EF9">
        <w:rPr>
          <w:lang w:val="hr-HR"/>
        </w:rPr>
        <w:t xml:space="preserve"> proračunski rashodi</w:t>
      </w:r>
      <w:r w:rsidRPr="00182EF9">
        <w:rPr>
          <w:lang w:val="hr-HR"/>
        </w:rPr>
        <w:t xml:space="preserve"> (potkategorije: </w:t>
      </w:r>
      <w:r w:rsidR="008628FB" w:rsidRPr="00182EF9">
        <w:rPr>
          <w:lang w:val="hr-HR"/>
        </w:rPr>
        <w:t xml:space="preserve">600000-tekuća pričuva, </w:t>
      </w:r>
      <w:r w:rsidRPr="00182EF9">
        <w:rPr>
          <w:lang w:val="hr-HR"/>
        </w:rPr>
        <w:t xml:space="preserve">611000, 612000, 613000, 614000, 615000 i 616000) </w:t>
      </w:r>
      <w:r w:rsidR="00B87699" w:rsidRPr="00182EF9">
        <w:rPr>
          <w:lang w:val="hr-HR"/>
        </w:rPr>
        <w:t xml:space="preserve">u Izmjenama i dopunama Proračuna Županije Posavske za </w:t>
      </w:r>
      <w:r w:rsidR="00CF75F7">
        <w:rPr>
          <w:lang w:val="hr-HR"/>
        </w:rPr>
        <w:t>2024</w:t>
      </w:r>
      <w:r w:rsidR="00B87699" w:rsidRPr="00182EF9">
        <w:rPr>
          <w:lang w:val="hr-HR"/>
        </w:rPr>
        <w:t xml:space="preserve">. godinu </w:t>
      </w:r>
      <w:r w:rsidRPr="00182EF9">
        <w:rPr>
          <w:lang w:val="hr-HR"/>
        </w:rPr>
        <w:t>iznose</w:t>
      </w:r>
      <w:r w:rsidR="008628FB" w:rsidRPr="00182EF9">
        <w:rPr>
          <w:lang w:val="hr-HR"/>
        </w:rPr>
        <w:t xml:space="preserve"> </w:t>
      </w:r>
      <w:r w:rsidR="00087C43">
        <w:rPr>
          <w:lang w:val="hr-HR"/>
        </w:rPr>
        <w:t>64.231.820</w:t>
      </w:r>
      <w:r w:rsidRPr="00182EF9">
        <w:rPr>
          <w:lang w:val="hr-HR"/>
        </w:rPr>
        <w:t xml:space="preserve"> KM, odnosno</w:t>
      </w:r>
      <w:r w:rsidR="008628FB" w:rsidRPr="00182EF9">
        <w:rPr>
          <w:lang w:val="hr-HR"/>
        </w:rPr>
        <w:t xml:space="preserve"> </w:t>
      </w:r>
      <w:r w:rsidR="00087C43">
        <w:rPr>
          <w:lang w:val="hr-HR"/>
        </w:rPr>
        <w:t>4,27</w:t>
      </w:r>
      <w:r w:rsidRPr="00182EF9">
        <w:rPr>
          <w:lang w:val="hr-HR"/>
        </w:rPr>
        <w:t xml:space="preserve">% </w:t>
      </w:r>
      <w:r w:rsidR="006E1521" w:rsidRPr="00182EF9">
        <w:rPr>
          <w:lang w:val="hr-HR"/>
        </w:rPr>
        <w:t>više</w:t>
      </w:r>
      <w:r w:rsidRPr="00182EF9">
        <w:rPr>
          <w:lang w:val="hr-HR"/>
        </w:rPr>
        <w:t xml:space="preserve"> u odnosu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na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prvobitni plan</w:t>
      </w:r>
      <w:r w:rsidR="00A05E61" w:rsidRPr="00182EF9">
        <w:rPr>
          <w:lang w:val="hr-HR"/>
        </w:rPr>
        <w:t xml:space="preserve"> </w:t>
      </w:r>
      <w:r w:rsidRPr="00182EF9">
        <w:rPr>
          <w:lang w:val="hr-HR"/>
        </w:rPr>
        <w:t>ili</w:t>
      </w:r>
      <w:r w:rsidR="008628FB" w:rsidRPr="00182EF9">
        <w:rPr>
          <w:lang w:val="hr-HR"/>
        </w:rPr>
        <w:t xml:space="preserve"> </w:t>
      </w:r>
      <w:r w:rsidR="00087C43">
        <w:rPr>
          <w:lang w:val="hr-HR"/>
        </w:rPr>
        <w:t>2.629.883</w:t>
      </w:r>
      <w:r w:rsidRPr="00182EF9">
        <w:rPr>
          <w:lang w:val="hr-HR"/>
        </w:rPr>
        <w:t xml:space="preserve"> KM </w:t>
      </w:r>
      <w:r w:rsidR="006E1521" w:rsidRPr="00182EF9">
        <w:rPr>
          <w:lang w:val="hr-HR"/>
        </w:rPr>
        <w:t>više</w:t>
      </w:r>
      <w:r w:rsidRPr="00182EF9">
        <w:rPr>
          <w:lang w:val="hr-HR"/>
        </w:rPr>
        <w:t xml:space="preserve"> u apsolutnom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iznosu.</w:t>
      </w:r>
    </w:p>
    <w:p w14:paraId="2A248FD9" w14:textId="77777777" w:rsidR="001B6728" w:rsidRPr="00182EF9" w:rsidRDefault="001B6728">
      <w:pPr>
        <w:autoSpaceDE w:val="0"/>
        <w:autoSpaceDN w:val="0"/>
        <w:adjustRightInd w:val="0"/>
        <w:jc w:val="both"/>
        <w:rPr>
          <w:lang w:val="hr-HR"/>
        </w:rPr>
      </w:pPr>
    </w:p>
    <w:p w14:paraId="2A248FDA" w14:textId="77777777" w:rsidR="00593A7C" w:rsidRPr="00182EF9" w:rsidRDefault="007A67BB">
      <w:pPr>
        <w:pStyle w:val="Naslov7"/>
        <w:spacing w:line="240" w:lineRule="auto"/>
        <w:ind w:firstLine="720"/>
      </w:pPr>
      <w:r w:rsidRPr="00182EF9">
        <w:t>5</w:t>
      </w:r>
      <w:r w:rsidR="00445243" w:rsidRPr="00182EF9">
        <w:t xml:space="preserve">.1.1 </w:t>
      </w:r>
      <w:r w:rsidR="00445243" w:rsidRPr="00182EF9">
        <w:tab/>
        <w:t>Tekuća pričuva</w:t>
      </w:r>
    </w:p>
    <w:p w14:paraId="2A248FDB" w14:textId="49F38869" w:rsidR="008628FB" w:rsidRPr="00182EF9" w:rsidRDefault="0018034E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Tekuće pričuve </w:t>
      </w:r>
      <w:r w:rsidR="006C790C" w:rsidRPr="00182EF9">
        <w:rPr>
          <w:lang w:val="hr-HR"/>
        </w:rPr>
        <w:t xml:space="preserve">se Izmjenama i dopunama Proračuna Županije Posavske za </w:t>
      </w:r>
      <w:r w:rsidR="00087C43">
        <w:rPr>
          <w:lang w:val="hr-HR"/>
        </w:rPr>
        <w:t>2024</w:t>
      </w:r>
      <w:r w:rsidR="006C790C" w:rsidRPr="00182EF9">
        <w:rPr>
          <w:lang w:val="hr-HR"/>
        </w:rPr>
        <w:t xml:space="preserve">. godinu povećavaju za </w:t>
      </w:r>
      <w:r w:rsidR="00087C43">
        <w:rPr>
          <w:lang w:val="hr-HR"/>
        </w:rPr>
        <w:t>17,86</w:t>
      </w:r>
      <w:r w:rsidR="006C790C" w:rsidRPr="00182EF9">
        <w:rPr>
          <w:lang w:val="hr-HR"/>
        </w:rPr>
        <w:t>%</w:t>
      </w:r>
      <w:r w:rsidR="00A05E61" w:rsidRPr="00182EF9">
        <w:rPr>
          <w:lang w:val="hr-HR"/>
        </w:rPr>
        <w:t>,</w:t>
      </w:r>
      <w:r w:rsidR="006C790C" w:rsidRPr="00182EF9">
        <w:rPr>
          <w:lang w:val="hr-HR"/>
        </w:rPr>
        <w:t xml:space="preserve"> i iznose </w:t>
      </w:r>
      <w:r w:rsidR="00A05E61" w:rsidRPr="00182EF9">
        <w:rPr>
          <w:lang w:val="hr-HR"/>
        </w:rPr>
        <w:t xml:space="preserve">ukupno </w:t>
      </w:r>
      <w:r w:rsidR="00BF6B60" w:rsidRPr="00182EF9">
        <w:rPr>
          <w:lang w:val="hr-HR"/>
        </w:rPr>
        <w:t>660.000</w:t>
      </w:r>
      <w:r w:rsidR="006C790C" w:rsidRPr="00182EF9">
        <w:rPr>
          <w:lang w:val="hr-HR"/>
        </w:rPr>
        <w:t xml:space="preserve"> KM</w:t>
      </w:r>
      <w:r w:rsidR="00A05E61" w:rsidRPr="00182EF9">
        <w:rPr>
          <w:lang w:val="hr-HR"/>
        </w:rPr>
        <w:t xml:space="preserve">. Pri tom se </w:t>
      </w:r>
      <w:r w:rsidR="006C790C" w:rsidRPr="00182EF9">
        <w:rPr>
          <w:lang w:val="hr-HR"/>
        </w:rPr>
        <w:t>tekuća pričuva Vlade</w:t>
      </w:r>
      <w:r w:rsidR="00A05E61" w:rsidRPr="00182EF9">
        <w:rPr>
          <w:lang w:val="hr-HR"/>
        </w:rPr>
        <w:t xml:space="preserve"> povećava </w:t>
      </w:r>
      <w:r w:rsidR="001A69B3" w:rsidRPr="00182EF9">
        <w:rPr>
          <w:lang w:val="hr-HR"/>
        </w:rPr>
        <w:t xml:space="preserve">za </w:t>
      </w:r>
      <w:r w:rsidR="000D143A">
        <w:rPr>
          <w:lang w:val="hr-HR"/>
        </w:rPr>
        <w:t>20,00</w:t>
      </w:r>
      <w:r w:rsidR="00793C05" w:rsidRPr="00182EF9">
        <w:rPr>
          <w:lang w:val="hr-HR"/>
        </w:rPr>
        <w:t xml:space="preserve">% ili za </w:t>
      </w:r>
      <w:r w:rsidR="000D143A">
        <w:rPr>
          <w:lang w:val="hr-HR"/>
        </w:rPr>
        <w:t>100</w:t>
      </w:r>
      <w:r w:rsidR="001A69B3" w:rsidRPr="00182EF9">
        <w:rPr>
          <w:lang w:val="hr-HR"/>
        </w:rPr>
        <w:t>.000 KM</w:t>
      </w:r>
      <w:r w:rsidR="006C790C" w:rsidRPr="00182EF9">
        <w:rPr>
          <w:lang w:val="hr-HR"/>
        </w:rPr>
        <w:t>,</w:t>
      </w:r>
      <w:r w:rsidR="001A69B3" w:rsidRPr="00182EF9">
        <w:rPr>
          <w:lang w:val="hr-HR"/>
        </w:rPr>
        <w:t xml:space="preserve"> dok tekuće pričuve predsjednika Vlade,</w:t>
      </w:r>
      <w:r w:rsidR="006C790C" w:rsidRPr="00182EF9">
        <w:rPr>
          <w:lang w:val="hr-HR"/>
        </w:rPr>
        <w:t xml:space="preserve"> zamjenika predsjednika Vlade i ministra financija </w:t>
      </w:r>
      <w:r w:rsidR="00AB050C" w:rsidRPr="00182EF9">
        <w:rPr>
          <w:lang w:val="hr-HR"/>
        </w:rPr>
        <w:t xml:space="preserve">ostaju na razini </w:t>
      </w:r>
      <w:r w:rsidR="00BF6B60" w:rsidRPr="00182EF9">
        <w:rPr>
          <w:lang w:val="hr-HR"/>
        </w:rPr>
        <w:t>prvobitno</w:t>
      </w:r>
      <w:r w:rsidR="00AB050C" w:rsidRPr="00182EF9">
        <w:rPr>
          <w:lang w:val="hr-HR"/>
        </w:rPr>
        <w:t xml:space="preserve"> planiranog</w:t>
      </w:r>
      <w:r w:rsidR="00793C05" w:rsidRPr="00182EF9">
        <w:rPr>
          <w:lang w:val="hr-HR"/>
        </w:rPr>
        <w:t xml:space="preserve"> (30.000 KM, 15.000 KM i 15.000 KM respektivno)</w:t>
      </w:r>
      <w:r w:rsidR="001A69B3" w:rsidRPr="00182EF9">
        <w:rPr>
          <w:lang w:val="hr-HR"/>
        </w:rPr>
        <w:t>.</w:t>
      </w:r>
      <w:r w:rsidR="006C790C" w:rsidRPr="00182EF9">
        <w:rPr>
          <w:lang w:val="hr-HR"/>
        </w:rPr>
        <w:t xml:space="preserve"> </w:t>
      </w:r>
    </w:p>
    <w:p w14:paraId="2A248FDC" w14:textId="20F9E56D" w:rsidR="0089059A" w:rsidRPr="00182EF9" w:rsidRDefault="0089059A">
      <w:pPr>
        <w:ind w:firstLine="720"/>
        <w:jc w:val="both"/>
        <w:rPr>
          <w:lang w:val="hr-HR"/>
        </w:rPr>
      </w:pPr>
      <w:r w:rsidRPr="00182EF9">
        <w:rPr>
          <w:lang w:val="hr-HR"/>
        </w:rPr>
        <w:t>Učešće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tekuć</w:t>
      </w:r>
      <w:r w:rsidR="00F82BE3" w:rsidRPr="00182EF9">
        <w:rPr>
          <w:lang w:val="hr-HR"/>
        </w:rPr>
        <w:t>ih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pričuv</w:t>
      </w:r>
      <w:r w:rsidR="00F82BE3" w:rsidRPr="00182EF9">
        <w:rPr>
          <w:lang w:val="hr-HR"/>
        </w:rPr>
        <w:t>a</w:t>
      </w:r>
      <w:r w:rsidRPr="00182EF9">
        <w:rPr>
          <w:lang w:val="hr-HR"/>
        </w:rPr>
        <w:t xml:space="preserve"> </w:t>
      </w:r>
      <w:r w:rsidR="008628FB" w:rsidRPr="00182EF9">
        <w:rPr>
          <w:lang w:val="hr-HR"/>
        </w:rPr>
        <w:t xml:space="preserve">Vlade </w:t>
      </w:r>
      <w:r w:rsidRPr="00182EF9">
        <w:rPr>
          <w:lang w:val="hr-HR"/>
        </w:rPr>
        <w:t>u ukupnim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prihodima bez namjenskih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prihoda, vlastitih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prihoda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>i</w:t>
      </w:r>
      <w:r w:rsidR="008628FB" w:rsidRPr="00182EF9">
        <w:rPr>
          <w:lang w:val="hr-HR"/>
        </w:rPr>
        <w:t xml:space="preserve"> </w:t>
      </w:r>
      <w:r w:rsidRPr="00182EF9">
        <w:rPr>
          <w:lang w:val="hr-HR"/>
        </w:rPr>
        <w:t xml:space="preserve">primitaka iznosi </w:t>
      </w:r>
      <w:r w:rsidR="00BF6B60" w:rsidRPr="00182EF9">
        <w:rPr>
          <w:lang w:val="hr-HR"/>
        </w:rPr>
        <w:t>1,</w:t>
      </w:r>
      <w:r w:rsidR="00624E07">
        <w:rPr>
          <w:lang w:val="hr-HR"/>
        </w:rPr>
        <w:t>06</w:t>
      </w:r>
      <w:r w:rsidRPr="00182EF9">
        <w:rPr>
          <w:lang w:val="hr-HR"/>
        </w:rPr>
        <w:t>%.</w:t>
      </w:r>
    </w:p>
    <w:p w14:paraId="2A248FDD" w14:textId="77777777" w:rsidR="00593A7C" w:rsidRPr="00182EF9" w:rsidRDefault="00593A7C">
      <w:pPr>
        <w:ind w:firstLine="720"/>
        <w:jc w:val="both"/>
        <w:rPr>
          <w:lang w:val="hr-HR"/>
        </w:rPr>
      </w:pPr>
    </w:p>
    <w:p w14:paraId="2A248FDE" w14:textId="77777777" w:rsidR="00593A7C" w:rsidRPr="00182EF9" w:rsidRDefault="007A67BB">
      <w:pPr>
        <w:pStyle w:val="Naslov6"/>
        <w:spacing w:line="240" w:lineRule="auto"/>
        <w:ind w:left="0" w:firstLine="720"/>
      </w:pPr>
      <w:r w:rsidRPr="00182EF9">
        <w:t>5</w:t>
      </w:r>
      <w:r w:rsidR="00445243" w:rsidRPr="00182EF9">
        <w:t xml:space="preserve">.1.2. </w:t>
      </w:r>
      <w:r w:rsidR="00445243" w:rsidRPr="00182EF9">
        <w:tab/>
        <w:t>Plaće i naknade troškova zaposlenih, doprinosi poslodavca i ostali doprinosi</w:t>
      </w:r>
    </w:p>
    <w:p w14:paraId="2A248FDF" w14:textId="55C91192" w:rsidR="00593A7C" w:rsidRPr="00182EF9" w:rsidRDefault="00445243" w:rsidP="003A059D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Planirani izdaci na ime plaća i naknada troškova zaposlenih (potkategorija 611000) </w:t>
      </w:r>
      <w:r w:rsidR="006232DF" w:rsidRPr="00182EF9">
        <w:rPr>
          <w:lang w:val="hr-HR"/>
        </w:rPr>
        <w:t>povećavaju</w:t>
      </w:r>
      <w:r w:rsidRPr="00182EF9">
        <w:rPr>
          <w:lang w:val="hr-HR"/>
        </w:rPr>
        <w:t xml:space="preserve"> se za </w:t>
      </w:r>
      <w:r w:rsidR="0009508C">
        <w:rPr>
          <w:lang w:val="hr-HR"/>
        </w:rPr>
        <w:t>4,62</w:t>
      </w:r>
      <w:r w:rsidRPr="00182EF9">
        <w:rPr>
          <w:lang w:val="hr-HR"/>
        </w:rPr>
        <w:t>%</w:t>
      </w:r>
      <w:r w:rsidR="001A69B3" w:rsidRPr="00182EF9">
        <w:rPr>
          <w:lang w:val="hr-HR"/>
        </w:rPr>
        <w:t xml:space="preserve">, odnosno za </w:t>
      </w:r>
      <w:r w:rsidR="003A6AAB">
        <w:rPr>
          <w:lang w:val="hr-HR"/>
        </w:rPr>
        <w:t>1.528.480</w:t>
      </w:r>
      <w:r w:rsidR="001A69B3" w:rsidRPr="00182EF9">
        <w:rPr>
          <w:lang w:val="hr-HR"/>
        </w:rPr>
        <w:t xml:space="preserve"> KM</w:t>
      </w:r>
      <w:r w:rsidRPr="00182EF9">
        <w:rPr>
          <w:lang w:val="hr-HR"/>
        </w:rPr>
        <w:t xml:space="preserve"> u odnosu na </w:t>
      </w:r>
      <w:r w:rsidR="00793C05" w:rsidRPr="00182EF9">
        <w:rPr>
          <w:lang w:val="hr-HR"/>
        </w:rPr>
        <w:t>prethodni</w:t>
      </w:r>
      <w:r w:rsidRPr="00182EF9">
        <w:rPr>
          <w:lang w:val="hr-HR"/>
        </w:rPr>
        <w:t xml:space="preserve"> plan i iznose </w:t>
      </w:r>
      <w:r w:rsidR="003A6AAB">
        <w:rPr>
          <w:lang w:val="hr-HR"/>
        </w:rPr>
        <w:t>34.642.440</w:t>
      </w:r>
      <w:r w:rsidRPr="00182EF9">
        <w:rPr>
          <w:lang w:val="hr-HR"/>
        </w:rPr>
        <w:t xml:space="preserve"> </w:t>
      </w:r>
      <w:r w:rsidRPr="00182EF9">
        <w:rPr>
          <w:lang w:val="hr-HR"/>
        </w:rPr>
        <w:lastRenderedPageBreak/>
        <w:t xml:space="preserve">KM, dok se doprinosi poslodavca i ostali doprinosi (potkategorija 612000) </w:t>
      </w:r>
      <w:r w:rsidR="00BF6B60" w:rsidRPr="00182EF9">
        <w:rPr>
          <w:lang w:val="hr-HR"/>
        </w:rPr>
        <w:t>povećava</w:t>
      </w:r>
      <w:r w:rsidR="003A6AAB">
        <w:rPr>
          <w:lang w:val="hr-HR"/>
        </w:rPr>
        <w:t>ju</w:t>
      </w:r>
      <w:r w:rsidR="0089059A" w:rsidRPr="00182EF9">
        <w:rPr>
          <w:lang w:val="hr-HR"/>
        </w:rPr>
        <w:t xml:space="preserve"> </w:t>
      </w:r>
      <w:r w:rsidRPr="00182EF9">
        <w:rPr>
          <w:lang w:val="hr-HR"/>
        </w:rPr>
        <w:t xml:space="preserve">za </w:t>
      </w:r>
      <w:r w:rsidR="003A6AAB">
        <w:rPr>
          <w:lang w:val="hr-HR"/>
        </w:rPr>
        <w:t>4,37</w:t>
      </w:r>
      <w:r w:rsidR="0089059A" w:rsidRPr="00182EF9">
        <w:rPr>
          <w:lang w:val="hr-HR"/>
        </w:rPr>
        <w:t>%</w:t>
      </w:r>
      <w:r w:rsidR="001A69B3" w:rsidRPr="00182EF9">
        <w:rPr>
          <w:lang w:val="hr-HR"/>
        </w:rPr>
        <w:t xml:space="preserve">, odnosno za </w:t>
      </w:r>
      <w:r w:rsidR="005F73A3">
        <w:rPr>
          <w:lang w:val="hr-HR"/>
        </w:rPr>
        <w:t>144.260</w:t>
      </w:r>
      <w:r w:rsidR="001A69B3" w:rsidRPr="00182EF9">
        <w:rPr>
          <w:lang w:val="hr-HR"/>
        </w:rPr>
        <w:t xml:space="preserve"> KM,</w:t>
      </w:r>
      <w:r w:rsidR="0089059A" w:rsidRPr="00182EF9">
        <w:rPr>
          <w:lang w:val="hr-HR"/>
        </w:rPr>
        <w:t xml:space="preserve"> i iznose </w:t>
      </w:r>
      <w:r w:rsidR="005F73A3">
        <w:rPr>
          <w:lang w:val="hr-HR"/>
        </w:rPr>
        <w:t>3.444.220</w:t>
      </w:r>
      <w:r w:rsidR="0082435B" w:rsidRPr="00182EF9">
        <w:rPr>
          <w:lang w:val="hr-HR"/>
        </w:rPr>
        <w:t xml:space="preserve"> KM</w:t>
      </w:r>
      <w:r w:rsidR="0089059A" w:rsidRPr="00182EF9">
        <w:rPr>
          <w:lang w:val="hr-HR"/>
        </w:rPr>
        <w:t>.</w:t>
      </w:r>
    </w:p>
    <w:p w14:paraId="2A248FE0" w14:textId="48E6F7E6" w:rsidR="003A059D" w:rsidRPr="00182EF9" w:rsidRDefault="003A059D" w:rsidP="003A059D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Bruto plaće i naknade plaća planirane su u iznosu od </w:t>
      </w:r>
      <w:r w:rsidR="005F73A3">
        <w:rPr>
          <w:lang w:val="hr-HR"/>
        </w:rPr>
        <w:t>28.345.090</w:t>
      </w:r>
      <w:r w:rsidRPr="00182EF9">
        <w:rPr>
          <w:lang w:val="hr-HR"/>
        </w:rPr>
        <w:t xml:space="preserve"> KM i </w:t>
      </w:r>
      <w:r w:rsidR="00BF6B60" w:rsidRPr="00182EF9">
        <w:rPr>
          <w:lang w:val="hr-HR"/>
        </w:rPr>
        <w:t>veće</w:t>
      </w:r>
      <w:r w:rsidRPr="00182EF9">
        <w:rPr>
          <w:lang w:val="hr-HR"/>
        </w:rPr>
        <w:t xml:space="preserve"> su od </w:t>
      </w:r>
      <w:r w:rsidR="00BF6B60" w:rsidRPr="00182EF9">
        <w:rPr>
          <w:lang w:val="hr-HR"/>
        </w:rPr>
        <w:t>prvobitno</w:t>
      </w:r>
      <w:r w:rsidRPr="00182EF9">
        <w:rPr>
          <w:lang w:val="hr-HR"/>
        </w:rPr>
        <w:t xml:space="preserve"> planiranih za 1,</w:t>
      </w:r>
      <w:r w:rsidR="005F73A3">
        <w:rPr>
          <w:lang w:val="hr-HR"/>
        </w:rPr>
        <w:t>83</w:t>
      </w:r>
      <w:r w:rsidRPr="00182EF9">
        <w:rPr>
          <w:lang w:val="hr-HR"/>
        </w:rPr>
        <w:t xml:space="preserve">% ili za </w:t>
      </w:r>
      <w:r w:rsidR="00806F07">
        <w:rPr>
          <w:lang w:val="hr-HR"/>
        </w:rPr>
        <w:t>509</w:t>
      </w:r>
      <w:r w:rsidR="00BF6B60" w:rsidRPr="00182EF9">
        <w:rPr>
          <w:lang w:val="hr-HR"/>
        </w:rPr>
        <w:t>.</w:t>
      </w:r>
      <w:r w:rsidR="00806F07">
        <w:rPr>
          <w:lang w:val="hr-HR"/>
        </w:rPr>
        <w:t>90</w:t>
      </w:r>
      <w:r w:rsidR="00BF6B60" w:rsidRPr="00182EF9">
        <w:rPr>
          <w:lang w:val="hr-HR"/>
        </w:rPr>
        <w:t>0</w:t>
      </w:r>
      <w:r w:rsidRPr="00182EF9">
        <w:rPr>
          <w:lang w:val="hr-HR"/>
        </w:rPr>
        <w:t xml:space="preserve"> KM </w:t>
      </w:r>
      <w:r w:rsidR="00BF6B60" w:rsidRPr="00182EF9">
        <w:rPr>
          <w:lang w:val="hr-HR"/>
        </w:rPr>
        <w:t>veće</w:t>
      </w:r>
      <w:r w:rsidRPr="00182EF9">
        <w:rPr>
          <w:lang w:val="hr-HR"/>
        </w:rPr>
        <w:t>.</w:t>
      </w:r>
    </w:p>
    <w:p w14:paraId="5D1D60B7" w14:textId="1BCBFEC9" w:rsidR="00BF6B60" w:rsidRPr="00182EF9" w:rsidRDefault="00F82BE3" w:rsidP="003A059D">
      <w:pPr>
        <w:ind w:firstLine="720"/>
        <w:jc w:val="both"/>
        <w:rPr>
          <w:lang w:val="hr-HR"/>
        </w:rPr>
      </w:pPr>
      <w:r w:rsidRPr="00182EF9">
        <w:rPr>
          <w:lang w:val="hr-HR"/>
        </w:rPr>
        <w:t>U izračun potrebnih sredstava za bruto plaće i naknade plaća zaposlenih</w:t>
      </w:r>
      <w:r w:rsidR="00680816">
        <w:rPr>
          <w:lang w:val="hr-HR"/>
        </w:rPr>
        <w:t>, u odnosu na prvobitno planirano, uzete su u obzir</w:t>
      </w:r>
      <w:r w:rsidRPr="00182EF9">
        <w:rPr>
          <w:lang w:val="hr-HR"/>
        </w:rPr>
        <w:t xml:space="preserve"> </w:t>
      </w:r>
      <w:r w:rsidR="00BF6B60" w:rsidRPr="00182EF9">
        <w:rPr>
          <w:lang w:val="hr-HR"/>
        </w:rPr>
        <w:t>slijedeće</w:t>
      </w:r>
      <w:r w:rsidR="00680816">
        <w:rPr>
          <w:lang w:val="hr-HR"/>
        </w:rPr>
        <w:t xml:space="preserve"> nastale promjene</w:t>
      </w:r>
      <w:r w:rsidR="00BF6B60" w:rsidRPr="00182EF9">
        <w:rPr>
          <w:lang w:val="hr-HR"/>
        </w:rPr>
        <w:t>:</w:t>
      </w:r>
    </w:p>
    <w:p w14:paraId="03116D58" w14:textId="6EE14FAE" w:rsidR="00A57789" w:rsidRDefault="00F82BE3" w:rsidP="00A40AAA">
      <w:pPr>
        <w:pStyle w:val="Odlomakpopisa"/>
        <w:numPr>
          <w:ilvl w:val="0"/>
          <w:numId w:val="7"/>
        </w:numPr>
        <w:jc w:val="both"/>
      </w:pPr>
      <w:r w:rsidRPr="00182EF9">
        <w:t>povećanje osnovice za obračun plaća zaposlenika u proračunskim korisnicima (osim sudaca, tužitelja i stručnih suradnika u pravosuđu) od 01.</w:t>
      </w:r>
      <w:r w:rsidR="00A57789" w:rsidRPr="00182EF9">
        <w:t>0</w:t>
      </w:r>
      <w:r w:rsidR="00E87F33">
        <w:t>7</w:t>
      </w:r>
      <w:r w:rsidRPr="00182EF9">
        <w:t>.</w:t>
      </w:r>
      <w:r w:rsidR="00E87F33">
        <w:t>2024</w:t>
      </w:r>
      <w:r w:rsidRPr="00182EF9">
        <w:t xml:space="preserve">. godine sa </w:t>
      </w:r>
      <w:r w:rsidR="00E87F33">
        <w:t>152</w:t>
      </w:r>
      <w:r w:rsidRPr="00182EF9">
        <w:t xml:space="preserve">,00 KM na </w:t>
      </w:r>
      <w:r w:rsidR="00E87F33">
        <w:t>160</w:t>
      </w:r>
      <w:r w:rsidR="00793C05" w:rsidRPr="00182EF9">
        <w:t xml:space="preserve">,00 KM (povećanje za </w:t>
      </w:r>
      <w:r w:rsidR="00A82B4D">
        <w:t>5,26</w:t>
      </w:r>
      <w:r w:rsidR="00793C05" w:rsidRPr="00182EF9">
        <w:t>%, “Narodne novine Županije Posavske”, broj: 1</w:t>
      </w:r>
      <w:r w:rsidR="00DD3910">
        <w:t>1</w:t>
      </w:r>
      <w:r w:rsidR="00793C05" w:rsidRPr="00182EF9">
        <w:t>/2</w:t>
      </w:r>
      <w:r w:rsidR="00DD3910">
        <w:t>4</w:t>
      </w:r>
      <w:r w:rsidR="00793C05" w:rsidRPr="00182EF9">
        <w:t>)</w:t>
      </w:r>
      <w:r w:rsidR="00A57789" w:rsidRPr="00182EF9">
        <w:t xml:space="preserve">, </w:t>
      </w:r>
    </w:p>
    <w:p w14:paraId="1BB109D0" w14:textId="58CF8776" w:rsidR="00EF0285" w:rsidRDefault="00A50066" w:rsidP="00A40AAA">
      <w:pPr>
        <w:pStyle w:val="Odlomakpopisa"/>
        <w:numPr>
          <w:ilvl w:val="0"/>
          <w:numId w:val="7"/>
        </w:numPr>
        <w:jc w:val="both"/>
      </w:pPr>
      <w:r w:rsidRPr="00150661">
        <w:t>početkom 2024. godine izvršeno je usklađivanje osnovne mjesečne plaće sudaca, tužitelja i stručnih suradnika u pravosuđu s kretanjem prosječne mjesečne plaće u Bosni i Hercegovini, sukladno članku 6. Zakona o plaćama i drugim naknadama sudaca i tužitelja u Federaciji Bosne i Hercegovine („Službene novine FBiH“, broj: 72/05, 22/09 i 55/13)</w:t>
      </w:r>
      <w:r>
        <w:t xml:space="preserve">, </w:t>
      </w:r>
      <w:r w:rsidR="005D0A86">
        <w:t>i</w:t>
      </w:r>
    </w:p>
    <w:p w14:paraId="4E905E45" w14:textId="1D194E66" w:rsidR="00163DD5" w:rsidRPr="00182EF9" w:rsidRDefault="00B75E91" w:rsidP="00A40AAA">
      <w:pPr>
        <w:pStyle w:val="Odlomakpopisa"/>
        <w:numPr>
          <w:ilvl w:val="0"/>
          <w:numId w:val="7"/>
        </w:numPr>
        <w:jc w:val="both"/>
      </w:pPr>
      <w:r>
        <w:t xml:space="preserve">prosječna federalna </w:t>
      </w:r>
      <w:r w:rsidR="00BD4447">
        <w:t>neto plaća za kolovoz 2024. godine (</w:t>
      </w:r>
      <w:r w:rsidR="009D5068">
        <w:t>posljednji</w:t>
      </w:r>
      <w:r w:rsidR="00BD4447">
        <w:t xml:space="preserve"> službeni podatak) iznosi 1.384 KM</w:t>
      </w:r>
      <w:r w:rsidR="00EF0285">
        <w:t>.</w:t>
      </w:r>
    </w:p>
    <w:p w14:paraId="2A248FE3" w14:textId="54ACF0C8" w:rsidR="008732DF" w:rsidRPr="00182EF9" w:rsidRDefault="008732DF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Planirani broj zaposlenih je usklađen sa stanjem u </w:t>
      </w:r>
      <w:r w:rsidR="009D5068">
        <w:rPr>
          <w:lang w:val="hr-HR"/>
        </w:rPr>
        <w:t>listopadu</w:t>
      </w:r>
      <w:r w:rsidRPr="00182EF9">
        <w:rPr>
          <w:lang w:val="hr-HR"/>
        </w:rPr>
        <w:t xml:space="preserve"> </w:t>
      </w:r>
      <w:r w:rsidR="009D5068">
        <w:rPr>
          <w:lang w:val="hr-HR"/>
        </w:rPr>
        <w:t>2024</w:t>
      </w:r>
      <w:r w:rsidRPr="00182EF9">
        <w:rPr>
          <w:lang w:val="hr-HR"/>
        </w:rPr>
        <w:t xml:space="preserve">. godine, kao i realnim potrebama proračunskih korisnika u ostatku tekuće godine. Došlo je do </w:t>
      </w:r>
      <w:r w:rsidR="00793C05" w:rsidRPr="00182EF9">
        <w:rPr>
          <w:lang w:val="hr-HR"/>
        </w:rPr>
        <w:t>smanjenja</w:t>
      </w:r>
      <w:r w:rsidRPr="00182EF9">
        <w:rPr>
          <w:lang w:val="hr-HR"/>
        </w:rPr>
        <w:t xml:space="preserve"> </w:t>
      </w:r>
      <w:r w:rsidR="00A57789" w:rsidRPr="00182EF9">
        <w:rPr>
          <w:lang w:val="hr-HR"/>
        </w:rPr>
        <w:t xml:space="preserve">prvobitnog </w:t>
      </w:r>
      <w:r w:rsidRPr="00182EF9">
        <w:rPr>
          <w:lang w:val="hr-HR"/>
        </w:rPr>
        <w:t>ukupnog plana (koji uključuj</w:t>
      </w:r>
      <w:r w:rsidR="00793C05" w:rsidRPr="00182EF9">
        <w:rPr>
          <w:lang w:val="hr-HR"/>
        </w:rPr>
        <w:t>e</w:t>
      </w:r>
      <w:r w:rsidRPr="00182EF9">
        <w:rPr>
          <w:lang w:val="hr-HR"/>
        </w:rPr>
        <w:t xml:space="preserve"> plan upošljavanja vježbenika u proračunskim korisnicima i vanjskih suradnika u obrazovanju) sa</w:t>
      </w:r>
      <w:r w:rsidR="00C12F38">
        <w:rPr>
          <w:lang w:val="hr-HR"/>
        </w:rPr>
        <w:t xml:space="preserve"> ukupno</w:t>
      </w:r>
      <w:r w:rsidRPr="00182EF9">
        <w:rPr>
          <w:lang w:val="hr-HR"/>
        </w:rPr>
        <w:t xml:space="preserve"> </w:t>
      </w:r>
      <w:r w:rsidR="00C12F38">
        <w:rPr>
          <w:lang w:val="hr-HR"/>
        </w:rPr>
        <w:t>1021</w:t>
      </w:r>
      <w:r w:rsidRPr="00182EF9">
        <w:rPr>
          <w:lang w:val="hr-HR"/>
        </w:rPr>
        <w:t xml:space="preserve"> na </w:t>
      </w:r>
      <w:r w:rsidR="00A57789" w:rsidRPr="00182EF9">
        <w:rPr>
          <w:lang w:val="hr-HR"/>
        </w:rPr>
        <w:t>10</w:t>
      </w:r>
      <w:r w:rsidR="00170988">
        <w:rPr>
          <w:lang w:val="hr-HR"/>
        </w:rPr>
        <w:t>12</w:t>
      </w:r>
      <w:r w:rsidRPr="00182EF9">
        <w:rPr>
          <w:lang w:val="hr-HR"/>
        </w:rPr>
        <w:t xml:space="preserve"> (</w:t>
      </w:r>
      <w:r w:rsidR="00793C05" w:rsidRPr="00182EF9">
        <w:rPr>
          <w:lang w:val="hr-HR"/>
        </w:rPr>
        <w:t>smanjenje</w:t>
      </w:r>
      <w:r w:rsidRPr="00182EF9">
        <w:rPr>
          <w:lang w:val="hr-HR"/>
        </w:rPr>
        <w:t xml:space="preserve"> za </w:t>
      </w:r>
      <w:r w:rsidR="00A57789" w:rsidRPr="00182EF9">
        <w:rPr>
          <w:lang w:val="hr-HR"/>
        </w:rPr>
        <w:t>0,</w:t>
      </w:r>
      <w:r w:rsidR="00170988">
        <w:rPr>
          <w:lang w:val="hr-HR"/>
        </w:rPr>
        <w:t>88</w:t>
      </w:r>
      <w:r w:rsidR="00793C05" w:rsidRPr="00182EF9">
        <w:rPr>
          <w:lang w:val="hr-HR"/>
        </w:rPr>
        <w:t>%)</w:t>
      </w:r>
      <w:r w:rsidR="00170988">
        <w:rPr>
          <w:lang w:val="hr-HR"/>
        </w:rPr>
        <w:t>, odnosno</w:t>
      </w:r>
      <w:r w:rsidR="00090494">
        <w:rPr>
          <w:lang w:val="hr-HR"/>
        </w:rPr>
        <w:t>,</w:t>
      </w:r>
      <w:r w:rsidR="00170988">
        <w:rPr>
          <w:lang w:val="hr-HR"/>
        </w:rPr>
        <w:t xml:space="preserve"> </w:t>
      </w:r>
      <w:r w:rsidR="00090494">
        <w:rPr>
          <w:lang w:val="hr-HR"/>
        </w:rPr>
        <w:t>promatrajući samo uposlene na neodređeno vrijeme, sa 977 na 976.</w:t>
      </w:r>
    </w:p>
    <w:p w14:paraId="2A248FE4" w14:textId="2CF2D896" w:rsidR="00CB4429" w:rsidRPr="00182EF9" w:rsidRDefault="0079649C" w:rsidP="00CB4429">
      <w:pPr>
        <w:ind w:firstLine="720"/>
        <w:jc w:val="both"/>
        <w:rPr>
          <w:lang w:val="hr-HR"/>
        </w:rPr>
      </w:pPr>
      <w:r w:rsidRPr="00E26E6B">
        <w:rPr>
          <w:lang w:val="hr-HR"/>
        </w:rPr>
        <w:t xml:space="preserve">Do </w:t>
      </w:r>
      <w:r w:rsidR="00300467" w:rsidRPr="00E26E6B">
        <w:rPr>
          <w:lang w:val="hr-HR"/>
        </w:rPr>
        <w:t xml:space="preserve">konca </w:t>
      </w:r>
      <w:r w:rsidR="00B1685D" w:rsidRPr="00E26E6B">
        <w:rPr>
          <w:lang w:val="hr-HR"/>
        </w:rPr>
        <w:t>listopad</w:t>
      </w:r>
      <w:r w:rsidRPr="00E26E6B">
        <w:rPr>
          <w:lang w:val="hr-HR"/>
        </w:rPr>
        <w:t>a</w:t>
      </w:r>
      <w:r w:rsidR="00B1685D" w:rsidRPr="00E26E6B">
        <w:rPr>
          <w:lang w:val="hr-HR"/>
        </w:rPr>
        <w:t xml:space="preserve"> 2024. godine u proračunskim korisnicima su volontirale dvije osobe</w:t>
      </w:r>
      <w:r w:rsidR="00EB7478" w:rsidRPr="00E26E6B">
        <w:rPr>
          <w:lang w:val="hr-HR"/>
        </w:rPr>
        <w:t xml:space="preserve">, </w:t>
      </w:r>
      <w:r w:rsidR="00E26E6B" w:rsidRPr="00E26E6B">
        <w:rPr>
          <w:lang w:val="hr-HR"/>
        </w:rPr>
        <w:t>te</w:t>
      </w:r>
      <w:r w:rsidR="00E26E6B">
        <w:rPr>
          <w:lang w:val="hr-HR"/>
        </w:rPr>
        <w:t xml:space="preserve"> se </w:t>
      </w:r>
      <w:r w:rsidR="002A4551">
        <w:rPr>
          <w:lang w:val="hr-HR"/>
        </w:rPr>
        <w:t>ne planira angažiranje nove skupine volontera</w:t>
      </w:r>
      <w:r w:rsidR="00E26E6B">
        <w:rPr>
          <w:lang w:val="hr-HR"/>
        </w:rPr>
        <w:t xml:space="preserve"> u preostalom dijelu 2024. godine.</w:t>
      </w:r>
      <w:r w:rsidR="00182EF9">
        <w:rPr>
          <w:lang w:val="hr-HR"/>
        </w:rPr>
        <w:t xml:space="preserve"> </w:t>
      </w:r>
    </w:p>
    <w:p w14:paraId="2A248FE5" w14:textId="389E3915" w:rsidR="00D676A7" w:rsidRPr="00182EF9" w:rsidRDefault="00D676A7">
      <w:pPr>
        <w:ind w:firstLine="720"/>
        <w:jc w:val="both"/>
        <w:rPr>
          <w:lang w:val="hr-HR"/>
        </w:rPr>
      </w:pPr>
      <w:r w:rsidRPr="002E7882">
        <w:rPr>
          <w:lang w:val="hr-HR"/>
        </w:rPr>
        <w:t xml:space="preserve">U odnosu na </w:t>
      </w:r>
      <w:r w:rsidR="003A059D" w:rsidRPr="002E7882">
        <w:rPr>
          <w:lang w:val="hr-HR"/>
        </w:rPr>
        <w:t>prethodno</w:t>
      </w:r>
      <w:r w:rsidRPr="002E7882">
        <w:rPr>
          <w:lang w:val="hr-HR"/>
        </w:rPr>
        <w:t xml:space="preserve"> planirano</w:t>
      </w:r>
      <w:r w:rsidR="00AE6D31" w:rsidRPr="002E7882">
        <w:rPr>
          <w:lang w:val="hr-HR"/>
        </w:rPr>
        <w:t>,</w:t>
      </w:r>
      <w:r w:rsidRPr="002E7882">
        <w:rPr>
          <w:lang w:val="hr-HR"/>
        </w:rPr>
        <w:t xml:space="preserve"> naknade troškova zaposlenih povećane su za </w:t>
      </w:r>
      <w:r w:rsidR="00612A94">
        <w:rPr>
          <w:lang w:val="hr-HR"/>
        </w:rPr>
        <w:t>19,30</w:t>
      </w:r>
      <w:r w:rsidRPr="002E7882">
        <w:rPr>
          <w:lang w:val="hr-HR"/>
        </w:rPr>
        <w:t>%</w:t>
      </w:r>
      <w:r w:rsidR="00521231" w:rsidRPr="002E7882">
        <w:rPr>
          <w:lang w:val="hr-HR"/>
        </w:rPr>
        <w:t>, od čega su naknade troškova stalno zaposlenih u korisnicima Proračuna Županije Posavske</w:t>
      </w:r>
      <w:r w:rsidR="00637792" w:rsidRPr="002E7882">
        <w:rPr>
          <w:lang w:val="hr-HR"/>
        </w:rPr>
        <w:t xml:space="preserve"> veće za </w:t>
      </w:r>
      <w:r w:rsidR="00612A94">
        <w:rPr>
          <w:lang w:val="hr-HR"/>
        </w:rPr>
        <w:t>20,20</w:t>
      </w:r>
      <w:r w:rsidR="00637792" w:rsidRPr="002E7882">
        <w:rPr>
          <w:lang w:val="hr-HR"/>
        </w:rPr>
        <w:t xml:space="preserve">% ili za </w:t>
      </w:r>
      <w:r w:rsidR="000C7A40">
        <w:rPr>
          <w:lang w:val="hr-HR"/>
        </w:rPr>
        <w:t>1.057.040</w:t>
      </w:r>
      <w:r w:rsidR="003A059D" w:rsidRPr="002E7882">
        <w:rPr>
          <w:lang w:val="hr-HR"/>
        </w:rPr>
        <w:t xml:space="preserve"> </w:t>
      </w:r>
      <w:r w:rsidR="00637792" w:rsidRPr="002E7882">
        <w:rPr>
          <w:lang w:val="hr-HR"/>
        </w:rPr>
        <w:t xml:space="preserve">KM, dok su naknade troškova volontera </w:t>
      </w:r>
      <w:r w:rsidR="00182EF9" w:rsidRPr="002E7882">
        <w:rPr>
          <w:lang w:val="hr-HR"/>
        </w:rPr>
        <w:t>manje</w:t>
      </w:r>
      <w:r w:rsidR="00637792" w:rsidRPr="002E7882">
        <w:rPr>
          <w:lang w:val="hr-HR"/>
        </w:rPr>
        <w:t xml:space="preserve"> za </w:t>
      </w:r>
      <w:r w:rsidR="000C7A40">
        <w:rPr>
          <w:lang w:val="hr-HR"/>
        </w:rPr>
        <w:t>38.460</w:t>
      </w:r>
      <w:r w:rsidR="00637792" w:rsidRPr="002E7882">
        <w:rPr>
          <w:lang w:val="hr-HR"/>
        </w:rPr>
        <w:t xml:space="preserve"> KM ili za </w:t>
      </w:r>
      <w:r w:rsidR="00180DC1">
        <w:rPr>
          <w:lang w:val="hr-HR"/>
        </w:rPr>
        <w:t>84,79</w:t>
      </w:r>
      <w:r w:rsidR="00637792" w:rsidRPr="002E7882">
        <w:rPr>
          <w:lang w:val="hr-HR"/>
        </w:rPr>
        <w:t xml:space="preserve">%. </w:t>
      </w:r>
      <w:r w:rsidR="003A059D" w:rsidRPr="002E7882">
        <w:rPr>
          <w:lang w:val="hr-HR"/>
        </w:rPr>
        <w:t xml:space="preserve">U okviru naknada troškova zaposlenih </w:t>
      </w:r>
      <w:r w:rsidR="002E7882" w:rsidRPr="002E7882">
        <w:rPr>
          <w:lang w:val="hr-HR"/>
        </w:rPr>
        <w:t>planirana je</w:t>
      </w:r>
      <w:r w:rsidR="00182EF9" w:rsidRPr="002E7882">
        <w:rPr>
          <w:lang w:val="hr-HR"/>
        </w:rPr>
        <w:t xml:space="preserve"> blagdanska </w:t>
      </w:r>
      <w:r w:rsidR="003A059D" w:rsidRPr="002E7882">
        <w:rPr>
          <w:lang w:val="hr-HR"/>
        </w:rPr>
        <w:t xml:space="preserve">naknada zaposlenicima u iznosu od po </w:t>
      </w:r>
      <w:r w:rsidR="00180DC1">
        <w:rPr>
          <w:lang w:val="hr-HR"/>
        </w:rPr>
        <w:t>350</w:t>
      </w:r>
      <w:r w:rsidR="003A059D" w:rsidRPr="002E7882">
        <w:rPr>
          <w:lang w:val="hr-HR"/>
        </w:rPr>
        <w:t>,00 KM.</w:t>
      </w:r>
      <w:r w:rsidR="002E7882" w:rsidRPr="002E7882">
        <w:rPr>
          <w:lang w:val="hr-HR"/>
        </w:rPr>
        <w:t xml:space="preserve"> U prethodnom tijeku godine isplaćene su: naknade za obilježavanje Međunarodnog</w:t>
      </w:r>
      <w:r w:rsidR="002E7882">
        <w:rPr>
          <w:lang w:val="hr-HR"/>
        </w:rPr>
        <w:t xml:space="preserve"> dana žena u </w:t>
      </w:r>
      <w:r w:rsidR="006C3063">
        <w:rPr>
          <w:lang w:val="hr-HR"/>
        </w:rPr>
        <w:t>2024</w:t>
      </w:r>
      <w:r w:rsidR="002E7882">
        <w:rPr>
          <w:lang w:val="hr-HR"/>
        </w:rPr>
        <w:t xml:space="preserve">. godini u iznosu od po </w:t>
      </w:r>
      <w:r w:rsidR="00E475D8">
        <w:rPr>
          <w:lang w:val="hr-HR"/>
        </w:rPr>
        <w:t>100</w:t>
      </w:r>
      <w:r w:rsidR="002E7882">
        <w:rPr>
          <w:lang w:val="hr-HR"/>
        </w:rPr>
        <w:t>,00 KM po uposlenici</w:t>
      </w:r>
      <w:r w:rsidR="006C3063">
        <w:rPr>
          <w:lang w:val="hr-HR"/>
        </w:rPr>
        <w:t xml:space="preserve">, </w:t>
      </w:r>
      <w:r w:rsidR="002E7882">
        <w:rPr>
          <w:lang w:val="hr-HR"/>
        </w:rPr>
        <w:t xml:space="preserve"> </w:t>
      </w:r>
      <w:r w:rsidR="00741AF8" w:rsidRPr="009D072A">
        <w:t>jednokratne novčane potpore uposlenicima korisnika Proračuna Županije Posavske</w:t>
      </w:r>
      <w:r w:rsidR="009609DB">
        <w:t xml:space="preserve"> u</w:t>
      </w:r>
      <w:r w:rsidR="00741AF8">
        <w:rPr>
          <w:lang w:val="hr-HR"/>
        </w:rPr>
        <w:t xml:space="preserve"> </w:t>
      </w:r>
      <w:r w:rsidR="009609DB" w:rsidRPr="009609DB">
        <w:rPr>
          <w:lang w:val="hr-HR"/>
        </w:rPr>
        <w:t xml:space="preserve">skladu s Uredbom o isplati pomoći od strane poslodavca </w:t>
      </w:r>
      <w:r w:rsidR="001F75B9">
        <w:rPr>
          <w:lang w:val="hr-HR"/>
        </w:rPr>
        <w:t xml:space="preserve">od po 500 KM, </w:t>
      </w:r>
      <w:r w:rsidR="002E7882">
        <w:rPr>
          <w:lang w:val="hr-HR"/>
        </w:rPr>
        <w:t xml:space="preserve">te naknade za vrijeme korištenja godišnjeg odmora u iznosu od po </w:t>
      </w:r>
      <w:r w:rsidR="006F0020">
        <w:rPr>
          <w:lang w:val="hr-HR"/>
        </w:rPr>
        <w:t>682</w:t>
      </w:r>
      <w:r w:rsidR="00D455FB">
        <w:rPr>
          <w:lang w:val="hr-HR"/>
        </w:rPr>
        <w:t xml:space="preserve">,00 KM </w:t>
      </w:r>
      <w:r w:rsidR="002E7882">
        <w:rPr>
          <w:lang w:val="hr-HR"/>
        </w:rPr>
        <w:t xml:space="preserve">po uposleniku. Od početka </w:t>
      </w:r>
      <w:r w:rsidR="00BB7C7E">
        <w:rPr>
          <w:lang w:val="hr-HR"/>
        </w:rPr>
        <w:t>2024</w:t>
      </w:r>
      <w:r w:rsidR="002E7882">
        <w:rPr>
          <w:lang w:val="hr-HR"/>
        </w:rPr>
        <w:t>. godine vršeno je usklađivanje dnevnog iznosa toplog obroka uposlenika s kretanjem prosječne federalne neto plaće (1%</w:t>
      </w:r>
      <w:r w:rsidR="001A2F3D">
        <w:rPr>
          <w:lang w:val="hr-HR"/>
        </w:rPr>
        <w:t>, o</w:t>
      </w:r>
      <w:r w:rsidR="009D0803">
        <w:rPr>
          <w:lang w:val="hr-HR"/>
        </w:rPr>
        <w:t>dnosno od</w:t>
      </w:r>
      <w:r w:rsidR="001A2F3D">
        <w:rPr>
          <w:lang w:val="hr-HR"/>
        </w:rPr>
        <w:t xml:space="preserve"> 13,10 KM do 13,84 KM</w:t>
      </w:r>
      <w:r w:rsidR="002E7882">
        <w:rPr>
          <w:lang w:val="hr-HR"/>
        </w:rPr>
        <w:t>).</w:t>
      </w:r>
    </w:p>
    <w:p w14:paraId="2A248FE6" w14:textId="7A7C827E" w:rsidR="00955EF3" w:rsidRPr="00182EF9" w:rsidRDefault="00182EF9" w:rsidP="00521231">
      <w:pPr>
        <w:ind w:firstLine="720"/>
        <w:jc w:val="both"/>
        <w:rPr>
          <w:lang w:val="hr-HR"/>
        </w:rPr>
      </w:pPr>
      <w:r>
        <w:rPr>
          <w:lang w:val="hr-HR"/>
        </w:rPr>
        <w:t>Povećanje</w:t>
      </w:r>
      <w:r w:rsidR="00955EF3" w:rsidRPr="00182EF9">
        <w:rPr>
          <w:lang w:val="hr-HR"/>
        </w:rPr>
        <w:t xml:space="preserve"> planiranih izdataka za doprinose poslodavca </w:t>
      </w:r>
      <w:r w:rsidR="003A059D" w:rsidRPr="00182EF9">
        <w:rPr>
          <w:lang w:val="hr-HR"/>
        </w:rPr>
        <w:t xml:space="preserve">s </w:t>
      </w:r>
      <w:r>
        <w:rPr>
          <w:lang w:val="hr-HR"/>
        </w:rPr>
        <w:t>prvobitno</w:t>
      </w:r>
      <w:r w:rsidR="003A059D" w:rsidRPr="00182EF9">
        <w:rPr>
          <w:lang w:val="hr-HR"/>
        </w:rPr>
        <w:t xml:space="preserve"> planiranih </w:t>
      </w:r>
      <w:r>
        <w:rPr>
          <w:lang w:val="hr-HR"/>
        </w:rPr>
        <w:t>3.</w:t>
      </w:r>
      <w:r w:rsidR="00732097">
        <w:rPr>
          <w:lang w:val="hr-HR"/>
        </w:rPr>
        <w:t>299</w:t>
      </w:r>
      <w:r>
        <w:rPr>
          <w:lang w:val="hr-HR"/>
        </w:rPr>
        <w:t>.</w:t>
      </w:r>
      <w:r w:rsidR="00732097">
        <w:rPr>
          <w:lang w:val="hr-HR"/>
        </w:rPr>
        <w:t>96</w:t>
      </w:r>
      <w:r>
        <w:rPr>
          <w:lang w:val="hr-HR"/>
        </w:rPr>
        <w:t>0</w:t>
      </w:r>
      <w:r w:rsidR="003A059D" w:rsidRPr="00182EF9">
        <w:rPr>
          <w:lang w:val="hr-HR"/>
        </w:rPr>
        <w:t xml:space="preserve"> KM na </w:t>
      </w:r>
      <w:r w:rsidR="00732097">
        <w:rPr>
          <w:lang w:val="hr-HR"/>
        </w:rPr>
        <w:t>3.444.220</w:t>
      </w:r>
      <w:r w:rsidR="003A059D" w:rsidRPr="00182EF9">
        <w:rPr>
          <w:lang w:val="hr-HR"/>
        </w:rPr>
        <w:t xml:space="preserve"> KM </w:t>
      </w:r>
      <w:r w:rsidR="004D123B">
        <w:rPr>
          <w:lang w:val="hr-HR"/>
        </w:rPr>
        <w:t>(+</w:t>
      </w:r>
      <w:r w:rsidR="00C434E3">
        <w:rPr>
          <w:lang w:val="hr-HR"/>
        </w:rPr>
        <w:t>4,37</w:t>
      </w:r>
      <w:r w:rsidR="003A059D" w:rsidRPr="00182EF9">
        <w:rPr>
          <w:lang w:val="hr-HR"/>
        </w:rPr>
        <w:t xml:space="preserve">%) </w:t>
      </w:r>
      <w:r w:rsidR="00955EF3" w:rsidRPr="00182EF9">
        <w:rPr>
          <w:lang w:val="hr-HR"/>
        </w:rPr>
        <w:t xml:space="preserve">prati analogiju </w:t>
      </w:r>
      <w:r w:rsidR="004D123B">
        <w:rPr>
          <w:lang w:val="hr-HR"/>
        </w:rPr>
        <w:t>povećanja</w:t>
      </w:r>
      <w:r w:rsidR="00955EF3" w:rsidRPr="00182EF9">
        <w:rPr>
          <w:lang w:val="hr-HR"/>
        </w:rPr>
        <w:t xml:space="preserve"> potrebnih izdataka</w:t>
      </w:r>
      <w:r w:rsidR="003A059D" w:rsidRPr="00182EF9">
        <w:rPr>
          <w:lang w:val="hr-HR"/>
        </w:rPr>
        <w:t xml:space="preserve"> za bruto plaće i naknade plaća. </w:t>
      </w:r>
      <w:r w:rsidR="0018338D">
        <w:rPr>
          <w:lang w:val="hr-HR"/>
        </w:rPr>
        <w:t xml:space="preserve">Tako se doprinosi poslodavca </w:t>
      </w:r>
      <w:r w:rsidR="00B162EA">
        <w:rPr>
          <w:lang w:val="hr-HR"/>
        </w:rPr>
        <w:t>(redoviti) povećavaju za 2,74% ili za 90.260 KM</w:t>
      </w:r>
      <w:r w:rsidR="001C53C6">
        <w:rPr>
          <w:lang w:val="hr-HR"/>
        </w:rPr>
        <w:t xml:space="preserve"> u odnosu na prvobitno planirane</w:t>
      </w:r>
      <w:r w:rsidR="00185E12">
        <w:rPr>
          <w:lang w:val="hr-HR"/>
        </w:rPr>
        <w:t xml:space="preserve">. </w:t>
      </w:r>
      <w:r w:rsidR="00D42B51" w:rsidRPr="00182EF9">
        <w:rPr>
          <w:lang w:val="hr-HR"/>
        </w:rPr>
        <w:t>Potrebna sredstva za</w:t>
      </w:r>
      <w:r w:rsidR="00442D2F" w:rsidRPr="00182EF9">
        <w:rPr>
          <w:lang w:val="hr-HR"/>
        </w:rPr>
        <w:t xml:space="preserve"> izmirenj</w:t>
      </w:r>
      <w:r w:rsidR="00D42B51" w:rsidRPr="00182EF9">
        <w:rPr>
          <w:lang w:val="hr-HR"/>
        </w:rPr>
        <w:t>e</w:t>
      </w:r>
      <w:r w:rsidR="00442D2F" w:rsidRPr="00182EF9">
        <w:rPr>
          <w:lang w:val="hr-HR"/>
        </w:rPr>
        <w:t xml:space="preserve"> dijela dospjelih a neizmirenih obveza poslodavca uposlenika Ministarstva unutarnjih poslova Županije Posavske </w:t>
      </w:r>
      <w:r w:rsidR="00C434E3">
        <w:rPr>
          <w:lang w:val="hr-HR"/>
        </w:rPr>
        <w:t>iz ranijih</w:t>
      </w:r>
      <w:r w:rsidR="00442D2F" w:rsidRPr="00182EF9">
        <w:rPr>
          <w:lang w:val="hr-HR"/>
        </w:rPr>
        <w:t xml:space="preserve"> razdoblj</w:t>
      </w:r>
      <w:r w:rsidR="00C434E3">
        <w:rPr>
          <w:lang w:val="hr-HR"/>
        </w:rPr>
        <w:t>a</w:t>
      </w:r>
      <w:r w:rsidR="00DB1B26">
        <w:rPr>
          <w:lang w:val="hr-HR"/>
        </w:rPr>
        <w:t xml:space="preserve"> </w:t>
      </w:r>
      <w:r w:rsidR="00651746">
        <w:rPr>
          <w:lang w:val="hr-HR"/>
        </w:rPr>
        <w:t>(do 1998. godine)</w:t>
      </w:r>
      <w:r w:rsidR="00442D2F" w:rsidRPr="00182EF9">
        <w:rPr>
          <w:lang w:val="hr-HR"/>
        </w:rPr>
        <w:t xml:space="preserve"> koji su bili raspoređeni na poslove i radne zadatke na kojima se ima pravo na beneficirani radni staž u skladu s važećim propisima</w:t>
      </w:r>
      <w:r w:rsidR="00D42B51" w:rsidRPr="00182EF9">
        <w:rPr>
          <w:lang w:val="hr-HR"/>
        </w:rPr>
        <w:t xml:space="preserve"> </w:t>
      </w:r>
      <w:r w:rsidR="00321A16">
        <w:rPr>
          <w:lang w:val="hr-HR"/>
        </w:rPr>
        <w:t>povećavaju</w:t>
      </w:r>
      <w:r w:rsidR="00250DC4" w:rsidRPr="00182EF9">
        <w:rPr>
          <w:lang w:val="hr-HR"/>
        </w:rPr>
        <w:t xml:space="preserve"> se i iznose</w:t>
      </w:r>
      <w:r w:rsidR="00D42B51" w:rsidRPr="00182EF9">
        <w:rPr>
          <w:lang w:val="hr-HR"/>
        </w:rPr>
        <w:t xml:space="preserve"> </w:t>
      </w:r>
      <w:r w:rsidR="00321A16">
        <w:rPr>
          <w:lang w:val="hr-HR"/>
        </w:rPr>
        <w:t>64.000</w:t>
      </w:r>
      <w:r w:rsidR="00D42B51" w:rsidRPr="00182EF9">
        <w:rPr>
          <w:lang w:val="hr-HR"/>
        </w:rPr>
        <w:t xml:space="preserve"> KM</w:t>
      </w:r>
      <w:r w:rsidR="00DB1B26">
        <w:rPr>
          <w:lang w:val="hr-HR"/>
        </w:rPr>
        <w:t xml:space="preserve"> (prvobitno planirani u iznosu od 10.000 KM).</w:t>
      </w:r>
    </w:p>
    <w:p w14:paraId="2A248FE7" w14:textId="77777777" w:rsidR="00442CAD" w:rsidRPr="00182EF9" w:rsidRDefault="00442CAD" w:rsidP="00442CAD">
      <w:pPr>
        <w:ind w:firstLine="720"/>
        <w:jc w:val="both"/>
        <w:rPr>
          <w:color w:val="FF0000"/>
          <w:lang w:val="hr-HR"/>
        </w:rPr>
      </w:pPr>
    </w:p>
    <w:p w14:paraId="2A248FE8" w14:textId="77777777" w:rsidR="00593A7C" w:rsidRPr="00182EF9" w:rsidRDefault="007A67BB">
      <w:pPr>
        <w:pStyle w:val="Naslov7"/>
        <w:spacing w:line="240" w:lineRule="auto"/>
        <w:ind w:firstLine="720"/>
      </w:pPr>
      <w:r w:rsidRPr="00182EF9">
        <w:t>5</w:t>
      </w:r>
      <w:r w:rsidR="00445243" w:rsidRPr="00182EF9">
        <w:t xml:space="preserve">.1.3. </w:t>
      </w:r>
      <w:r w:rsidR="00445243" w:rsidRPr="00182EF9">
        <w:tab/>
        <w:t>Izdaci za materijal, sitan inventar i usluge</w:t>
      </w:r>
    </w:p>
    <w:p w14:paraId="2A248FE9" w14:textId="09CA8E0B" w:rsidR="00E01654" w:rsidRPr="00182EF9" w:rsidRDefault="00445243" w:rsidP="00955EF3">
      <w:pPr>
        <w:pStyle w:val="Tijeloteksta"/>
        <w:ind w:firstLine="720"/>
      </w:pPr>
      <w:r w:rsidRPr="00182EF9">
        <w:t xml:space="preserve">Izmjenama i dopunama Proračuna izdaci za materijal, sitan inventar i usluge (potkategorija 613000) planirani su u iznosu od </w:t>
      </w:r>
      <w:r w:rsidR="00EE18C2">
        <w:t>7.026.150</w:t>
      </w:r>
      <w:r w:rsidRPr="00182EF9">
        <w:t xml:space="preserve"> KM, što je </w:t>
      </w:r>
      <w:r w:rsidR="00EE18C2">
        <w:t>1,01</w:t>
      </w:r>
      <w:r w:rsidRPr="00182EF9">
        <w:t xml:space="preserve">% </w:t>
      </w:r>
      <w:r w:rsidR="004D123B">
        <w:t>više</w:t>
      </w:r>
      <w:r w:rsidRPr="00182EF9">
        <w:t xml:space="preserve"> u odnosu na materijalne troškove predviđene </w:t>
      </w:r>
      <w:r w:rsidR="004D123B">
        <w:t>prvobitnim</w:t>
      </w:r>
      <w:r w:rsidRPr="00182EF9">
        <w:t xml:space="preserve"> planom, ili u apsolutnom iznosu </w:t>
      </w:r>
      <w:r w:rsidR="004D123B">
        <w:t>više</w:t>
      </w:r>
      <w:r w:rsidRPr="00182EF9">
        <w:t xml:space="preserve"> za </w:t>
      </w:r>
      <w:r w:rsidR="00A238BD">
        <w:t>69.923</w:t>
      </w:r>
      <w:r w:rsidRPr="00182EF9">
        <w:t xml:space="preserve"> KM.</w:t>
      </w:r>
      <w:r w:rsidR="00B17A3B" w:rsidRPr="00182EF9">
        <w:t xml:space="preserve"> </w:t>
      </w:r>
      <w:r w:rsidR="008E715B" w:rsidRPr="00182EF9">
        <w:t>Sve skupine materijalnih troškova su revidirane obzirom na potrošnju u razdoblju siječanj-</w:t>
      </w:r>
      <w:r w:rsidR="00A238BD">
        <w:t>listopad</w:t>
      </w:r>
      <w:r w:rsidR="008E715B" w:rsidRPr="00182EF9">
        <w:t xml:space="preserve"> 20</w:t>
      </w:r>
      <w:r w:rsidR="009C7949" w:rsidRPr="00182EF9">
        <w:t>2</w:t>
      </w:r>
      <w:r w:rsidR="00A238BD">
        <w:t>4</w:t>
      </w:r>
      <w:r w:rsidR="008E715B" w:rsidRPr="00182EF9">
        <w:t>. godin</w:t>
      </w:r>
      <w:r w:rsidR="00955EF3" w:rsidRPr="00182EF9">
        <w:t>e</w:t>
      </w:r>
      <w:r w:rsidR="008E715B" w:rsidRPr="00182EF9">
        <w:t xml:space="preserve"> i stvarne potrebe u </w:t>
      </w:r>
      <w:r w:rsidR="009C7949" w:rsidRPr="00182EF9">
        <w:t xml:space="preserve">ostatku fiskalne </w:t>
      </w:r>
      <w:r w:rsidR="00166016">
        <w:t>202</w:t>
      </w:r>
      <w:r w:rsidR="00A238BD">
        <w:t>4</w:t>
      </w:r>
      <w:r w:rsidR="009C7949" w:rsidRPr="00182EF9">
        <w:t>. godine</w:t>
      </w:r>
      <w:r w:rsidR="008E715B" w:rsidRPr="00182EF9">
        <w:t xml:space="preserve">. </w:t>
      </w:r>
    </w:p>
    <w:p w14:paraId="2A248FEA" w14:textId="7318C269" w:rsidR="004F3EED" w:rsidRPr="00182EF9" w:rsidRDefault="00E01654" w:rsidP="00955EF3">
      <w:pPr>
        <w:pStyle w:val="Tijeloteksta"/>
        <w:ind w:firstLine="720"/>
      </w:pPr>
      <w:r w:rsidRPr="00182EF9">
        <w:t>Povećanje je planirano na pozicijama</w:t>
      </w:r>
      <w:r w:rsidR="00D42B51" w:rsidRPr="00182EF9">
        <w:t>: putni troškovi</w:t>
      </w:r>
      <w:r w:rsidR="004F3EED" w:rsidRPr="00182EF9">
        <w:t xml:space="preserve"> (+</w:t>
      </w:r>
      <w:r w:rsidR="00A238BD">
        <w:t>3,05</w:t>
      </w:r>
      <w:r w:rsidR="004F3EED" w:rsidRPr="00182EF9">
        <w:t>%)</w:t>
      </w:r>
      <w:r w:rsidR="00D42B51" w:rsidRPr="00182EF9">
        <w:t>, izdaci za komunikaciju i komunalne usluge</w:t>
      </w:r>
      <w:r w:rsidR="004F3EED" w:rsidRPr="00182EF9">
        <w:t xml:space="preserve"> (+</w:t>
      </w:r>
      <w:r w:rsidR="004D123B">
        <w:t>0,</w:t>
      </w:r>
      <w:r w:rsidR="005A741D">
        <w:t>78</w:t>
      </w:r>
      <w:r w:rsidR="004F3EED" w:rsidRPr="00182EF9">
        <w:t>%)</w:t>
      </w:r>
      <w:r w:rsidR="00D42B51" w:rsidRPr="00182EF9">
        <w:t xml:space="preserve">, </w:t>
      </w:r>
      <w:r w:rsidR="005A741D">
        <w:t xml:space="preserve">ukupna </w:t>
      </w:r>
      <w:r w:rsidR="004D123B">
        <w:t>nabavka materijala i sitnog inventara (+</w:t>
      </w:r>
      <w:r w:rsidR="005A741D">
        <w:t>0,11</w:t>
      </w:r>
      <w:r w:rsidR="004D123B">
        <w:t>%),</w:t>
      </w:r>
      <w:r w:rsidR="00701C1D">
        <w:t xml:space="preserve"> izdaci za usluge prijevoza i goriva (</w:t>
      </w:r>
      <w:r w:rsidR="005B33D5">
        <w:t>+9,87%),</w:t>
      </w:r>
      <w:r w:rsidR="004D123B">
        <w:t xml:space="preserve"> </w:t>
      </w:r>
      <w:r w:rsidR="00867A5E">
        <w:t xml:space="preserve">ukupni </w:t>
      </w:r>
      <w:r w:rsidR="00D42B51" w:rsidRPr="00182EF9">
        <w:t xml:space="preserve">izdaci za </w:t>
      </w:r>
      <w:r w:rsidR="004D123B">
        <w:t>tekuće održavanje</w:t>
      </w:r>
      <w:r w:rsidR="004F3EED" w:rsidRPr="00182EF9">
        <w:t xml:space="preserve"> (+</w:t>
      </w:r>
      <w:r w:rsidR="00867A5E">
        <w:t>3,26</w:t>
      </w:r>
      <w:r w:rsidR="004F3EED" w:rsidRPr="00182EF9">
        <w:t>%),</w:t>
      </w:r>
      <w:r w:rsidR="00D42B51" w:rsidRPr="00182EF9">
        <w:t xml:space="preserve"> te ukupne </w:t>
      </w:r>
      <w:r w:rsidR="00D42B51" w:rsidRPr="00182EF9">
        <w:lastRenderedPageBreak/>
        <w:t>ugovorene i druge posebne usluge</w:t>
      </w:r>
      <w:r w:rsidR="004F3EED" w:rsidRPr="00182EF9">
        <w:t xml:space="preserve"> (+</w:t>
      </w:r>
      <w:r w:rsidR="001B4A39">
        <w:t>3,80</w:t>
      </w:r>
      <w:r w:rsidR="004F3EED" w:rsidRPr="00182EF9">
        <w:t>%)</w:t>
      </w:r>
      <w:r w:rsidR="00D42B51" w:rsidRPr="00182EF9">
        <w:t xml:space="preserve">, što je posljedica </w:t>
      </w:r>
      <w:r w:rsidR="0079355E">
        <w:t>kontinuiranog mada umjerenijeg rasta cijena</w:t>
      </w:r>
      <w:r w:rsidR="00F3002B">
        <w:t xml:space="preserve"> </w:t>
      </w:r>
      <w:r w:rsidR="00D42B51" w:rsidRPr="00182EF9">
        <w:t xml:space="preserve">u </w:t>
      </w:r>
      <w:r w:rsidR="001B4A39">
        <w:t>2024</w:t>
      </w:r>
      <w:r w:rsidR="004D123B">
        <w:t>. godini</w:t>
      </w:r>
      <w:r w:rsidR="00D42B51" w:rsidRPr="00182EF9">
        <w:t>.</w:t>
      </w:r>
      <w:r w:rsidRPr="00182EF9">
        <w:t xml:space="preserve"> </w:t>
      </w:r>
    </w:p>
    <w:p w14:paraId="4E4C275F" w14:textId="0E56485D" w:rsidR="002B11C4" w:rsidRDefault="00D42B51" w:rsidP="00955EF3">
      <w:pPr>
        <w:pStyle w:val="Tijeloteksta"/>
        <w:ind w:firstLine="720"/>
      </w:pPr>
      <w:r w:rsidRPr="00182EF9">
        <w:t xml:space="preserve">U odnosu na </w:t>
      </w:r>
      <w:r w:rsidR="004D123B">
        <w:t>prvobitni</w:t>
      </w:r>
      <w:r w:rsidRPr="00182EF9">
        <w:t xml:space="preserve"> plan smanjuju se izdaci za </w:t>
      </w:r>
      <w:r w:rsidR="004D123B">
        <w:t>energiju</w:t>
      </w:r>
      <w:r w:rsidRPr="00182EF9">
        <w:t xml:space="preserve"> </w:t>
      </w:r>
      <w:r w:rsidR="004F3EED" w:rsidRPr="00182EF9">
        <w:t>(-</w:t>
      </w:r>
      <w:r w:rsidR="000831D5">
        <w:t>9,38</w:t>
      </w:r>
      <w:r w:rsidR="004F3EED" w:rsidRPr="00182EF9">
        <w:t>%)</w:t>
      </w:r>
      <w:r w:rsidR="004D123B">
        <w:t xml:space="preserve">, izdaci za </w:t>
      </w:r>
      <w:r w:rsidR="000831D5">
        <w:t>unajmljivanje imovine</w:t>
      </w:r>
      <w:r w:rsidR="00F319A6">
        <w:t>, opreme i nematerijalne imovine</w:t>
      </w:r>
      <w:r w:rsidR="004D123B">
        <w:t xml:space="preserve"> (-</w:t>
      </w:r>
      <w:r w:rsidR="00F319A6">
        <w:t>32,26</w:t>
      </w:r>
      <w:r w:rsidR="004D123B">
        <w:t xml:space="preserve">%), </w:t>
      </w:r>
      <w:r w:rsidR="00F319A6">
        <w:t>izdaci osiguranja, bankarskih usluga i usluga platnog prometa (-</w:t>
      </w:r>
      <w:r w:rsidR="00797F85">
        <w:t xml:space="preserve">5,01%) </w:t>
      </w:r>
      <w:r w:rsidR="004D123B">
        <w:t xml:space="preserve">te </w:t>
      </w:r>
      <w:r w:rsidR="00797F85">
        <w:t>pojedin</w:t>
      </w:r>
      <w:r w:rsidR="00A62C78">
        <w:t>e</w:t>
      </w:r>
      <w:r w:rsidR="00797F85">
        <w:t xml:space="preserve"> </w:t>
      </w:r>
      <w:r w:rsidR="004D123B">
        <w:t>potkategorij</w:t>
      </w:r>
      <w:r w:rsidR="00A62C78">
        <w:t>e</w:t>
      </w:r>
      <w:r w:rsidR="004D123B">
        <w:t xml:space="preserve"> ugovorenih i drugih posebnih usluga </w:t>
      </w:r>
      <w:r w:rsidR="00797F85">
        <w:t>(</w:t>
      </w:r>
      <w:r w:rsidR="004D123B">
        <w:t>potpora riznici</w:t>
      </w:r>
      <w:r w:rsidR="00DB44C6">
        <w:t xml:space="preserve">, vozački ispiti-vlastiti prihodi, </w:t>
      </w:r>
      <w:r w:rsidR="004E433C">
        <w:t>izdaci za volonterski rad).</w:t>
      </w:r>
    </w:p>
    <w:p w14:paraId="7F653A2C" w14:textId="2EB6E1A5" w:rsidR="00E03DE7" w:rsidRDefault="00E03DE7" w:rsidP="00955EF3">
      <w:pPr>
        <w:pStyle w:val="Tijeloteksta"/>
        <w:ind w:firstLine="720"/>
      </w:pPr>
      <w:r>
        <w:t xml:space="preserve">U okviru materijalnih troškova Ministarstva prosvjete, znanosti, kulture i sporta Županije Posavske i škola tijekom </w:t>
      </w:r>
      <w:r w:rsidR="00A62C78">
        <w:t>2024</w:t>
      </w:r>
      <w:r>
        <w:t xml:space="preserve">. godine </w:t>
      </w:r>
      <w:r w:rsidR="008E4010">
        <w:t xml:space="preserve">u cijelosti su implementirani ili </w:t>
      </w:r>
      <w:r w:rsidR="00E533E0">
        <w:t xml:space="preserve">je u tijeku implementacija </w:t>
      </w:r>
      <w:r>
        <w:t>slijedećih projekata:</w:t>
      </w:r>
    </w:p>
    <w:p w14:paraId="3C9BEABF" w14:textId="0E458C1D" w:rsidR="00E03DE7" w:rsidRDefault="00E03DE7" w:rsidP="00A40AAA">
      <w:pPr>
        <w:pStyle w:val="Tijeloteksta"/>
        <w:numPr>
          <w:ilvl w:val="0"/>
          <w:numId w:val="7"/>
        </w:numPr>
      </w:pPr>
      <w:r>
        <w:t xml:space="preserve">nabavka </w:t>
      </w:r>
      <w:r w:rsidRPr="00182EF9">
        <w:t>obroka za učenike I-V razreda osnovnih škola</w:t>
      </w:r>
      <w:r>
        <w:t xml:space="preserve">, </w:t>
      </w:r>
      <w:r w:rsidR="00E674BB">
        <w:t>te pilot projekt</w:t>
      </w:r>
      <w:r w:rsidR="00E46A0A">
        <w:t xml:space="preserve"> produženog boravka u Osnovnoj školi Orašje u Orašju i Osnovnoj školi Vladimira Nazora u Odžaku </w:t>
      </w:r>
      <w:r>
        <w:t xml:space="preserve">čiji ukupni trošak u </w:t>
      </w:r>
      <w:r w:rsidR="00E46A0A">
        <w:t>2024</w:t>
      </w:r>
      <w:r>
        <w:t xml:space="preserve">. godini se planira u iznosu </w:t>
      </w:r>
      <w:r w:rsidR="00FA08F8">
        <w:t>724.490</w:t>
      </w:r>
      <w:r>
        <w:t xml:space="preserve"> KM</w:t>
      </w:r>
      <w:r w:rsidR="00FA08F8">
        <w:t>, i</w:t>
      </w:r>
    </w:p>
    <w:p w14:paraId="520F040D" w14:textId="059123C4" w:rsidR="00D56318" w:rsidRDefault="00D56318" w:rsidP="00A40AAA">
      <w:pPr>
        <w:pStyle w:val="Tijeloteksta"/>
        <w:numPr>
          <w:ilvl w:val="0"/>
          <w:numId w:val="7"/>
        </w:numPr>
      </w:pPr>
      <w:r w:rsidRPr="0094242E">
        <w:t>nabavka besplatnih udžbenika za učenike osnovnih škola od 1. do 5. razreda</w:t>
      </w:r>
      <w:r w:rsidR="00503630">
        <w:t xml:space="preserve"> u iznosu od 331.720 KM (pro</w:t>
      </w:r>
      <w:r w:rsidR="004809EE">
        <w:t xml:space="preserve">jekt financiran iz tekuće potpore Federalnog ministarstva </w:t>
      </w:r>
      <w:r w:rsidR="00FE2F05">
        <w:t>obrazovanja i nauke).</w:t>
      </w:r>
    </w:p>
    <w:p w14:paraId="2A248FEC" w14:textId="2853A574" w:rsidR="0032477F" w:rsidRPr="00182EF9" w:rsidRDefault="0032477F" w:rsidP="00442CAD">
      <w:pPr>
        <w:pStyle w:val="Tijeloteksta"/>
        <w:ind w:firstLine="720"/>
      </w:pPr>
      <w:r w:rsidRPr="00182EF9">
        <w:t xml:space="preserve">Od ukupno planiranih izdataka za materijal, sitan inventar i usluge </w:t>
      </w:r>
      <w:r w:rsidR="00AC1EF5">
        <w:t>83,76</w:t>
      </w:r>
      <w:r w:rsidRPr="00182EF9">
        <w:t>% će se financirati iz proračunskih prihoda (</w:t>
      </w:r>
      <w:r w:rsidR="00E01654" w:rsidRPr="00182EF9">
        <w:t>5.</w:t>
      </w:r>
      <w:r w:rsidR="0005625A">
        <w:t>884</w:t>
      </w:r>
      <w:r w:rsidR="00E01654" w:rsidRPr="00182EF9">
        <w:t>.</w:t>
      </w:r>
      <w:r w:rsidR="0005625A">
        <w:t>816</w:t>
      </w:r>
      <w:r w:rsidRPr="00182EF9">
        <w:t xml:space="preserve"> KM), dok će se </w:t>
      </w:r>
      <w:r w:rsidR="004A3092">
        <w:t>16,24</w:t>
      </w:r>
      <w:r w:rsidRPr="00182EF9">
        <w:t xml:space="preserve">% ili </w:t>
      </w:r>
      <w:r w:rsidR="00927895">
        <w:t>1.141.334</w:t>
      </w:r>
      <w:r w:rsidRPr="00182EF9">
        <w:t xml:space="preserve"> KM financirati iz ostalih izvora (namjenski prihodi, tekuće potpore).</w:t>
      </w:r>
    </w:p>
    <w:p w14:paraId="2A248FED" w14:textId="77777777" w:rsidR="00D11CA5" w:rsidRPr="00182EF9" w:rsidRDefault="00D11CA5" w:rsidP="00442CAD">
      <w:pPr>
        <w:pStyle w:val="Tijeloteksta"/>
        <w:ind w:firstLine="720"/>
      </w:pPr>
    </w:p>
    <w:p w14:paraId="2A248FEE" w14:textId="77777777" w:rsidR="00593A7C" w:rsidRPr="00182EF9" w:rsidRDefault="007A67BB">
      <w:pPr>
        <w:pStyle w:val="Naslov7"/>
        <w:spacing w:line="240" w:lineRule="auto"/>
        <w:ind w:firstLine="720"/>
      </w:pPr>
      <w:r w:rsidRPr="00182EF9">
        <w:t>5</w:t>
      </w:r>
      <w:r w:rsidR="00445243" w:rsidRPr="00182EF9">
        <w:t xml:space="preserve">.1.4. </w:t>
      </w:r>
      <w:r w:rsidR="00445243" w:rsidRPr="00182EF9">
        <w:tab/>
        <w:t>Tekući grantovi i drugi tekući rashodi</w:t>
      </w:r>
    </w:p>
    <w:p w14:paraId="2A248FEF" w14:textId="1815676C" w:rsidR="00593A7C" w:rsidRPr="00182EF9" w:rsidRDefault="00445243">
      <w:pPr>
        <w:pStyle w:val="Tijeloteksta"/>
        <w:ind w:firstLine="720"/>
      </w:pPr>
      <w:r w:rsidRPr="00182EF9">
        <w:t xml:space="preserve">Tekući grantovi i drugi tekući rashodi (potkategorija 614000) su </w:t>
      </w:r>
      <w:r w:rsidR="00E01654" w:rsidRPr="00182EF9">
        <w:t>Izmjenama i dopunama</w:t>
      </w:r>
      <w:r w:rsidRPr="00182EF9">
        <w:t xml:space="preserve"> planirani u iznosu od </w:t>
      </w:r>
      <w:r w:rsidR="009658CE">
        <w:t>16.693.500</w:t>
      </w:r>
      <w:r w:rsidRPr="00182EF9">
        <w:t xml:space="preserve"> KM, i za </w:t>
      </w:r>
      <w:r w:rsidR="009658CE">
        <w:t>4,64</w:t>
      </w:r>
      <w:r w:rsidRPr="00182EF9">
        <w:t xml:space="preserve">% su </w:t>
      </w:r>
      <w:r w:rsidR="00B95F91" w:rsidRPr="00182EF9">
        <w:t>veći</w:t>
      </w:r>
      <w:r w:rsidRPr="00182EF9">
        <w:t xml:space="preserve"> u odnosu na </w:t>
      </w:r>
      <w:r w:rsidR="003B0906" w:rsidRPr="00182EF9">
        <w:t>prvobitni</w:t>
      </w:r>
      <w:r w:rsidRPr="00182EF9">
        <w:t xml:space="preserve"> plan, što u apsolutnom iznosu čini </w:t>
      </w:r>
      <w:r w:rsidR="00B95F91" w:rsidRPr="00182EF9">
        <w:t>povećanje</w:t>
      </w:r>
      <w:r w:rsidRPr="00182EF9">
        <w:t xml:space="preserve"> od </w:t>
      </w:r>
      <w:r w:rsidR="00142562">
        <w:t>739.500</w:t>
      </w:r>
      <w:r w:rsidRPr="00182EF9">
        <w:t xml:space="preserve"> KM. </w:t>
      </w:r>
    </w:p>
    <w:p w14:paraId="2A248FF0" w14:textId="77777777" w:rsidR="00593A7C" w:rsidRPr="00182EF9" w:rsidRDefault="00445243">
      <w:pPr>
        <w:pStyle w:val="Tijeloteksta"/>
        <w:ind w:firstLine="720"/>
      </w:pPr>
      <w:r w:rsidRPr="00182EF9">
        <w:t>Potrošnja se</w:t>
      </w:r>
      <w:r w:rsidR="004F797D" w:rsidRPr="00182EF9">
        <w:t>, uslijed proširenja opsega davanja i/ili povećanih potreba</w:t>
      </w:r>
      <w:r w:rsidRPr="00182EF9">
        <w:t xml:space="preserve"> povećava </w:t>
      </w:r>
      <w:r w:rsidR="00711817" w:rsidRPr="00182EF9">
        <w:t>kako slijedi</w:t>
      </w:r>
      <w:r w:rsidRPr="00182EF9">
        <w:t>:</w:t>
      </w:r>
    </w:p>
    <w:p w14:paraId="2A248FF3" w14:textId="77777777" w:rsidR="00711817" w:rsidRPr="00182EF9" w:rsidRDefault="00711817">
      <w:pPr>
        <w:pStyle w:val="Tijeloteksta"/>
        <w:ind w:firstLine="720"/>
      </w:pPr>
    </w:p>
    <w:tbl>
      <w:tblPr>
        <w:tblStyle w:val="Reetkatablice"/>
        <w:tblW w:w="10207" w:type="dxa"/>
        <w:tblInd w:w="-318" w:type="dxa"/>
        <w:tblLook w:val="04A0" w:firstRow="1" w:lastRow="0" w:firstColumn="1" w:lastColumn="0" w:noHBand="0" w:noVBand="1"/>
      </w:tblPr>
      <w:tblGrid>
        <w:gridCol w:w="3104"/>
        <w:gridCol w:w="4904"/>
        <w:gridCol w:w="1161"/>
        <w:gridCol w:w="1038"/>
      </w:tblGrid>
      <w:tr w:rsidR="00A56E3E" w:rsidRPr="00182EF9" w14:paraId="2A248FF8" w14:textId="77777777" w:rsidTr="00F434FF">
        <w:tc>
          <w:tcPr>
            <w:tcW w:w="3104" w:type="dxa"/>
            <w:vAlign w:val="center"/>
          </w:tcPr>
          <w:p w14:paraId="2A248FF4" w14:textId="77777777" w:rsidR="00A56E3E" w:rsidRPr="00182EF9" w:rsidRDefault="00A56E3E" w:rsidP="00711817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Proračunski korisnik</w:t>
            </w:r>
          </w:p>
        </w:tc>
        <w:tc>
          <w:tcPr>
            <w:tcW w:w="4904" w:type="dxa"/>
            <w:vAlign w:val="center"/>
          </w:tcPr>
          <w:p w14:paraId="2A248FF5" w14:textId="77777777" w:rsidR="00A56E3E" w:rsidRPr="00182EF9" w:rsidRDefault="00A56E3E" w:rsidP="00711817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Pozicija</w:t>
            </w:r>
          </w:p>
        </w:tc>
        <w:tc>
          <w:tcPr>
            <w:tcW w:w="1161" w:type="dxa"/>
            <w:vAlign w:val="center"/>
          </w:tcPr>
          <w:p w14:paraId="2A248FF6" w14:textId="77777777" w:rsidR="00A56E3E" w:rsidRPr="00182EF9" w:rsidRDefault="00A56E3E" w:rsidP="00711817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Povećanje u KM</w:t>
            </w:r>
          </w:p>
        </w:tc>
        <w:tc>
          <w:tcPr>
            <w:tcW w:w="1038" w:type="dxa"/>
            <w:vAlign w:val="center"/>
          </w:tcPr>
          <w:p w14:paraId="2A248FF7" w14:textId="77777777" w:rsidR="00A56E3E" w:rsidRPr="00182EF9" w:rsidRDefault="00A56E3E" w:rsidP="00711817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Povećanje u %</w:t>
            </w:r>
          </w:p>
        </w:tc>
      </w:tr>
      <w:tr w:rsidR="0077057A" w:rsidRPr="00182EF9" w14:paraId="6D20AD95" w14:textId="77777777" w:rsidTr="00F434FF">
        <w:tc>
          <w:tcPr>
            <w:tcW w:w="3104" w:type="dxa"/>
          </w:tcPr>
          <w:p w14:paraId="10395F63" w14:textId="22819A6B" w:rsidR="0077057A" w:rsidRDefault="0077057A" w:rsidP="001D257D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Min.zdravstva i socijalne politike</w:t>
            </w:r>
          </w:p>
        </w:tc>
        <w:tc>
          <w:tcPr>
            <w:tcW w:w="4904" w:type="dxa"/>
          </w:tcPr>
          <w:p w14:paraId="040D16B6" w14:textId="1FA512F1" w:rsidR="0077057A" w:rsidRDefault="0077057A" w:rsidP="00E503CF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614100 – Grant za zdravstvene institucije i centre za socijalni rad</w:t>
            </w:r>
          </w:p>
        </w:tc>
        <w:tc>
          <w:tcPr>
            <w:tcW w:w="1161" w:type="dxa"/>
          </w:tcPr>
          <w:p w14:paraId="052CEB02" w14:textId="5903A983" w:rsidR="0077057A" w:rsidRDefault="00673138" w:rsidP="0088671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500.000</w:t>
            </w:r>
          </w:p>
        </w:tc>
        <w:tc>
          <w:tcPr>
            <w:tcW w:w="1038" w:type="dxa"/>
          </w:tcPr>
          <w:p w14:paraId="2740699F" w14:textId="46DE78FA" w:rsidR="0077057A" w:rsidRDefault="00673138" w:rsidP="00711817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125,00</w:t>
            </w:r>
          </w:p>
        </w:tc>
      </w:tr>
      <w:tr w:rsidR="00A56E3E" w:rsidRPr="00182EF9" w14:paraId="2A248FFD" w14:textId="77777777" w:rsidTr="00F434FF">
        <w:tc>
          <w:tcPr>
            <w:tcW w:w="3104" w:type="dxa"/>
          </w:tcPr>
          <w:p w14:paraId="2A248FF9" w14:textId="4931AAB8" w:rsidR="00A56E3E" w:rsidRPr="00182EF9" w:rsidRDefault="00D56318" w:rsidP="001D257D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</w:t>
            </w:r>
            <w:r w:rsidR="00A8489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prometa, veza i zaštite okoliša</w:t>
            </w:r>
          </w:p>
        </w:tc>
        <w:tc>
          <w:tcPr>
            <w:tcW w:w="4904" w:type="dxa"/>
          </w:tcPr>
          <w:p w14:paraId="2A248FFA" w14:textId="1675B3DF" w:rsidR="00A56E3E" w:rsidRPr="00182EF9" w:rsidRDefault="00D56318" w:rsidP="00E503CF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614100 – Grant za zaštitu okoliša</w:t>
            </w:r>
          </w:p>
        </w:tc>
        <w:tc>
          <w:tcPr>
            <w:tcW w:w="1161" w:type="dxa"/>
          </w:tcPr>
          <w:p w14:paraId="2A248FFB" w14:textId="1CF40B6E" w:rsidR="00A56E3E" w:rsidRPr="00182EF9" w:rsidRDefault="00741C9B" w:rsidP="0088671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</w:t>
            </w:r>
          </w:p>
        </w:tc>
        <w:tc>
          <w:tcPr>
            <w:tcW w:w="1038" w:type="dxa"/>
          </w:tcPr>
          <w:p w14:paraId="2A248FFC" w14:textId="4C32BCE9" w:rsidR="00A56E3E" w:rsidRPr="00182EF9" w:rsidRDefault="00741C9B" w:rsidP="00711817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4,65</w:t>
            </w:r>
          </w:p>
        </w:tc>
      </w:tr>
      <w:tr w:rsidR="00200848" w:rsidRPr="00182EF9" w14:paraId="1BCF887F" w14:textId="77777777" w:rsidTr="00F434FF">
        <w:tc>
          <w:tcPr>
            <w:tcW w:w="3104" w:type="dxa"/>
          </w:tcPr>
          <w:p w14:paraId="4E676A6C" w14:textId="0EA15F00" w:rsidR="00200848" w:rsidRDefault="00200848" w:rsidP="00711817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Min.prosvjete, znan.,kulture i sporta</w:t>
            </w:r>
          </w:p>
        </w:tc>
        <w:tc>
          <w:tcPr>
            <w:tcW w:w="4904" w:type="dxa"/>
          </w:tcPr>
          <w:p w14:paraId="706A8B86" w14:textId="106835E5" w:rsidR="00200848" w:rsidRDefault="00200848" w:rsidP="003B0906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  <w:r w:rsidR="005C0580">
              <w:rPr>
                <w:sz w:val="18"/>
                <w:szCs w:val="18"/>
              </w:rPr>
              <w:t>100 – Grant za sufinanciranje prijevoza učenika</w:t>
            </w:r>
          </w:p>
        </w:tc>
        <w:tc>
          <w:tcPr>
            <w:tcW w:w="1161" w:type="dxa"/>
          </w:tcPr>
          <w:p w14:paraId="42777FCD" w14:textId="487A5649" w:rsidR="00200848" w:rsidRPr="00182EF9" w:rsidRDefault="005C0580" w:rsidP="00711817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8.000</w:t>
            </w:r>
          </w:p>
        </w:tc>
        <w:tc>
          <w:tcPr>
            <w:tcW w:w="1038" w:type="dxa"/>
          </w:tcPr>
          <w:p w14:paraId="7D6EB981" w14:textId="1E6B9CD9" w:rsidR="00200848" w:rsidRPr="00182EF9" w:rsidRDefault="005C0580" w:rsidP="00711817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E503CF" w:rsidRPr="00182EF9" w14:paraId="2A249002" w14:textId="77777777" w:rsidTr="00F434FF">
        <w:tc>
          <w:tcPr>
            <w:tcW w:w="3104" w:type="dxa"/>
          </w:tcPr>
          <w:p w14:paraId="2A248FFE" w14:textId="09C10409" w:rsidR="00E503CF" w:rsidRPr="00182EF9" w:rsidRDefault="00D56318" w:rsidP="00711817">
            <w:pPr>
              <w:pStyle w:val="Tijeloteksta"/>
              <w:rPr>
                <w:sz w:val="18"/>
                <w:szCs w:val="18"/>
              </w:rPr>
            </w:pPr>
            <w:bookmarkStart w:id="0" w:name="_Hlk182399048"/>
            <w:r>
              <w:rPr>
                <w:sz w:val="18"/>
                <w:szCs w:val="18"/>
              </w:rPr>
              <w:t>Min</w:t>
            </w:r>
            <w:r w:rsidR="00A8489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zdravstva i socijalne politike</w:t>
            </w:r>
          </w:p>
        </w:tc>
        <w:tc>
          <w:tcPr>
            <w:tcW w:w="4904" w:type="dxa"/>
          </w:tcPr>
          <w:p w14:paraId="2A248FFF" w14:textId="5F2E0927" w:rsidR="00E503CF" w:rsidRPr="00182EF9" w:rsidRDefault="00D56318" w:rsidP="003B0906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614200 – Grant za </w:t>
            </w:r>
            <w:r w:rsidR="00582D5C">
              <w:rPr>
                <w:sz w:val="18"/>
                <w:szCs w:val="18"/>
              </w:rPr>
              <w:t>zdravstvene</w:t>
            </w:r>
            <w:r>
              <w:rPr>
                <w:sz w:val="18"/>
                <w:szCs w:val="18"/>
              </w:rPr>
              <w:t xml:space="preserve"> potrebe</w:t>
            </w:r>
          </w:p>
        </w:tc>
        <w:tc>
          <w:tcPr>
            <w:tcW w:w="1161" w:type="dxa"/>
          </w:tcPr>
          <w:p w14:paraId="2A249000" w14:textId="5975738C" w:rsidR="00E503CF" w:rsidRPr="00182EF9" w:rsidRDefault="00582D5C" w:rsidP="00711817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15.000</w:t>
            </w:r>
          </w:p>
        </w:tc>
        <w:tc>
          <w:tcPr>
            <w:tcW w:w="1038" w:type="dxa"/>
          </w:tcPr>
          <w:p w14:paraId="2A249001" w14:textId="6E955AFA" w:rsidR="00E503CF" w:rsidRPr="00182EF9" w:rsidRDefault="00F434FF" w:rsidP="00711817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18,75</w:t>
            </w:r>
          </w:p>
        </w:tc>
      </w:tr>
      <w:tr w:rsidR="00F434FF" w:rsidRPr="00182EF9" w14:paraId="2A92ED68" w14:textId="77777777" w:rsidTr="00F434FF">
        <w:tc>
          <w:tcPr>
            <w:tcW w:w="3104" w:type="dxa"/>
          </w:tcPr>
          <w:p w14:paraId="32A6B8F8" w14:textId="77777777" w:rsidR="00F434FF" w:rsidRPr="00182EF9" w:rsidRDefault="00F434FF" w:rsidP="00224A22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Min.zdravstva i socijalne politike</w:t>
            </w:r>
          </w:p>
        </w:tc>
        <w:tc>
          <w:tcPr>
            <w:tcW w:w="4904" w:type="dxa"/>
          </w:tcPr>
          <w:p w14:paraId="4112CF6C" w14:textId="15B6C811" w:rsidR="00F434FF" w:rsidRPr="00182EF9" w:rsidRDefault="00F434FF" w:rsidP="00224A22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614200 – Grant za socijalne potrebe</w:t>
            </w:r>
          </w:p>
        </w:tc>
        <w:tc>
          <w:tcPr>
            <w:tcW w:w="1161" w:type="dxa"/>
          </w:tcPr>
          <w:p w14:paraId="09AC2719" w14:textId="6A3BB025" w:rsidR="00F434FF" w:rsidRPr="00182EF9" w:rsidRDefault="00CE3489" w:rsidP="00224A22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54BB4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.000</w:t>
            </w:r>
          </w:p>
        </w:tc>
        <w:tc>
          <w:tcPr>
            <w:tcW w:w="1038" w:type="dxa"/>
          </w:tcPr>
          <w:p w14:paraId="2C649AC9" w14:textId="5768130E" w:rsidR="00F434FF" w:rsidRPr="00182EF9" w:rsidRDefault="00A76538" w:rsidP="00224A22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2,18</w:t>
            </w:r>
          </w:p>
        </w:tc>
      </w:tr>
      <w:bookmarkEnd w:id="0"/>
      <w:tr w:rsidR="00E503CF" w:rsidRPr="00182EF9" w14:paraId="2A249007" w14:textId="77777777" w:rsidTr="00F434FF">
        <w:tc>
          <w:tcPr>
            <w:tcW w:w="3104" w:type="dxa"/>
          </w:tcPr>
          <w:p w14:paraId="2A249003" w14:textId="27174190" w:rsidR="00E503CF" w:rsidRPr="00182EF9" w:rsidRDefault="00A8489E" w:rsidP="00CB369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Min.prosvjete, znanosti, kulture i sporta</w:t>
            </w:r>
          </w:p>
        </w:tc>
        <w:tc>
          <w:tcPr>
            <w:tcW w:w="4904" w:type="dxa"/>
          </w:tcPr>
          <w:p w14:paraId="2A249004" w14:textId="570288BB" w:rsidR="00E503CF" w:rsidRPr="00182EF9" w:rsidRDefault="00D56318" w:rsidP="00E503CF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  <w:r w:rsidR="005772E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00 – </w:t>
            </w:r>
            <w:r w:rsidR="005772E0">
              <w:rPr>
                <w:sz w:val="18"/>
                <w:szCs w:val="18"/>
              </w:rPr>
              <w:t>Isplate stipendija</w:t>
            </w:r>
          </w:p>
        </w:tc>
        <w:tc>
          <w:tcPr>
            <w:tcW w:w="1161" w:type="dxa"/>
          </w:tcPr>
          <w:p w14:paraId="2A249005" w14:textId="0BFB2EEF" w:rsidR="00E503CF" w:rsidRPr="00182EF9" w:rsidRDefault="005772E0" w:rsidP="00CB369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14.000</w:t>
            </w:r>
          </w:p>
        </w:tc>
        <w:tc>
          <w:tcPr>
            <w:tcW w:w="1038" w:type="dxa"/>
          </w:tcPr>
          <w:p w14:paraId="2A249006" w14:textId="1CDC2857" w:rsidR="00E503CF" w:rsidRPr="00182EF9" w:rsidRDefault="005772E0" w:rsidP="00CB369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7,53</w:t>
            </w:r>
          </w:p>
        </w:tc>
      </w:tr>
      <w:tr w:rsidR="00D175CB" w:rsidRPr="00182EF9" w14:paraId="27B98CC1" w14:textId="77777777" w:rsidTr="00F434FF">
        <w:tc>
          <w:tcPr>
            <w:tcW w:w="3104" w:type="dxa"/>
          </w:tcPr>
          <w:p w14:paraId="624AFDCF" w14:textId="16EB41D2" w:rsidR="00D175CB" w:rsidRDefault="001E2BBE" w:rsidP="00CB369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Ministarstvo branitelja</w:t>
            </w:r>
          </w:p>
        </w:tc>
        <w:tc>
          <w:tcPr>
            <w:tcW w:w="4904" w:type="dxa"/>
          </w:tcPr>
          <w:p w14:paraId="71F7E901" w14:textId="27E12597" w:rsidR="00D175CB" w:rsidRDefault="001E2BBE" w:rsidP="00E503CF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614200 – Grant za branitelje i stradalnike Domovinskog rata</w:t>
            </w:r>
          </w:p>
        </w:tc>
        <w:tc>
          <w:tcPr>
            <w:tcW w:w="1161" w:type="dxa"/>
          </w:tcPr>
          <w:p w14:paraId="4EB2C067" w14:textId="293504ED" w:rsidR="00D175CB" w:rsidRPr="00182EF9" w:rsidRDefault="00535D0F" w:rsidP="00CB369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</w:t>
            </w:r>
          </w:p>
        </w:tc>
        <w:tc>
          <w:tcPr>
            <w:tcW w:w="1038" w:type="dxa"/>
          </w:tcPr>
          <w:p w14:paraId="3A8BFEC5" w14:textId="196B5B27" w:rsidR="00D175CB" w:rsidRPr="00182EF9" w:rsidRDefault="00535D0F" w:rsidP="00CB369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</w:tr>
      <w:tr w:rsidR="00DF2FA3" w:rsidRPr="00182EF9" w14:paraId="6AB33AE6" w14:textId="77777777" w:rsidTr="00F434FF">
        <w:tc>
          <w:tcPr>
            <w:tcW w:w="3104" w:type="dxa"/>
          </w:tcPr>
          <w:p w14:paraId="18968C63" w14:textId="30D3F4FA" w:rsidR="00DF2FA3" w:rsidRDefault="00DF2FA3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Min.prosvjete, znan.,kulture i sporta</w:t>
            </w:r>
          </w:p>
        </w:tc>
        <w:tc>
          <w:tcPr>
            <w:tcW w:w="4904" w:type="dxa"/>
          </w:tcPr>
          <w:p w14:paraId="62947B9E" w14:textId="75E8540E" w:rsidR="00DF2FA3" w:rsidRDefault="00DF2FA3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614300 – Grant za informiranje</w:t>
            </w:r>
          </w:p>
        </w:tc>
        <w:tc>
          <w:tcPr>
            <w:tcW w:w="1161" w:type="dxa"/>
          </w:tcPr>
          <w:p w14:paraId="75574B70" w14:textId="6B1BE58B" w:rsidR="00DF2FA3" w:rsidRPr="00182EF9" w:rsidRDefault="00E00B5E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40.000</w:t>
            </w:r>
          </w:p>
        </w:tc>
        <w:tc>
          <w:tcPr>
            <w:tcW w:w="1038" w:type="dxa"/>
          </w:tcPr>
          <w:p w14:paraId="30F60F3C" w14:textId="11521038" w:rsidR="00DF2FA3" w:rsidRPr="00182EF9" w:rsidRDefault="00E00B5E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9,76</w:t>
            </w:r>
          </w:p>
        </w:tc>
      </w:tr>
      <w:tr w:rsidR="00E00B5E" w:rsidRPr="00182EF9" w14:paraId="45ADC85B" w14:textId="77777777" w:rsidTr="00F434FF">
        <w:tc>
          <w:tcPr>
            <w:tcW w:w="3104" w:type="dxa"/>
          </w:tcPr>
          <w:p w14:paraId="4CE92492" w14:textId="0E97E1BB" w:rsidR="00E00B5E" w:rsidRDefault="00E00B5E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Min.gospodarstva, rada i prost.uređenja</w:t>
            </w:r>
          </w:p>
        </w:tc>
        <w:tc>
          <w:tcPr>
            <w:tcW w:w="4904" w:type="dxa"/>
          </w:tcPr>
          <w:p w14:paraId="272CC0F1" w14:textId="2B8CD634" w:rsidR="00E00B5E" w:rsidRDefault="00E00B5E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614500 – Grant za razvoj poduzetništva, obrta i zadruga</w:t>
            </w:r>
          </w:p>
        </w:tc>
        <w:tc>
          <w:tcPr>
            <w:tcW w:w="1161" w:type="dxa"/>
          </w:tcPr>
          <w:p w14:paraId="7AF2B776" w14:textId="6B44CA18" w:rsidR="00E00B5E" w:rsidRPr="00182EF9" w:rsidRDefault="00381395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40.000</w:t>
            </w:r>
          </w:p>
        </w:tc>
        <w:tc>
          <w:tcPr>
            <w:tcW w:w="1038" w:type="dxa"/>
          </w:tcPr>
          <w:p w14:paraId="4C7528DF" w14:textId="6489136D" w:rsidR="00E00B5E" w:rsidRPr="00182EF9" w:rsidRDefault="007346CF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3,15</w:t>
            </w:r>
          </w:p>
        </w:tc>
      </w:tr>
      <w:tr w:rsidR="00DF2FA3" w:rsidRPr="00182EF9" w14:paraId="2A24900C" w14:textId="77777777" w:rsidTr="00F434FF">
        <w:tc>
          <w:tcPr>
            <w:tcW w:w="3104" w:type="dxa"/>
          </w:tcPr>
          <w:p w14:paraId="2A249008" w14:textId="0D33C26F" w:rsidR="00DF2FA3" w:rsidRPr="00182EF9" w:rsidRDefault="00DF2FA3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Min.poljoprivr., vodoprivr. i šumarstva</w:t>
            </w:r>
          </w:p>
        </w:tc>
        <w:tc>
          <w:tcPr>
            <w:tcW w:w="4904" w:type="dxa"/>
          </w:tcPr>
          <w:p w14:paraId="2A249009" w14:textId="5058B01A" w:rsidR="00DF2FA3" w:rsidRPr="00182EF9" w:rsidRDefault="00DF2FA3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614500 – Grant za poljoprivredu</w:t>
            </w:r>
          </w:p>
        </w:tc>
        <w:tc>
          <w:tcPr>
            <w:tcW w:w="1161" w:type="dxa"/>
          </w:tcPr>
          <w:p w14:paraId="2A24900A" w14:textId="70648901" w:rsidR="00DF2FA3" w:rsidRPr="00182EF9" w:rsidRDefault="007346CF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</w:t>
            </w:r>
          </w:p>
        </w:tc>
        <w:tc>
          <w:tcPr>
            <w:tcW w:w="1038" w:type="dxa"/>
          </w:tcPr>
          <w:p w14:paraId="2A24900B" w14:textId="74AF0C61" w:rsidR="00DF2FA3" w:rsidRPr="00182EF9" w:rsidRDefault="007346CF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5,71</w:t>
            </w:r>
          </w:p>
        </w:tc>
      </w:tr>
      <w:tr w:rsidR="00046AFD" w:rsidRPr="00182EF9" w14:paraId="08FD0012" w14:textId="77777777" w:rsidTr="00F434FF">
        <w:tc>
          <w:tcPr>
            <w:tcW w:w="3104" w:type="dxa"/>
          </w:tcPr>
          <w:p w14:paraId="6EE99A69" w14:textId="5C1DDC66" w:rsidR="00046AFD" w:rsidRDefault="00046AFD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Ministarstvo financija</w:t>
            </w:r>
          </w:p>
        </w:tc>
        <w:tc>
          <w:tcPr>
            <w:tcW w:w="4904" w:type="dxa"/>
          </w:tcPr>
          <w:p w14:paraId="12D58EE1" w14:textId="62915169" w:rsidR="00046AFD" w:rsidRDefault="00046AFD" w:rsidP="00DF2FA3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614800 – Ostali grantovi – povrat i drugo</w:t>
            </w:r>
          </w:p>
        </w:tc>
        <w:tc>
          <w:tcPr>
            <w:tcW w:w="1161" w:type="dxa"/>
          </w:tcPr>
          <w:p w14:paraId="25D71466" w14:textId="0EB8E275" w:rsidR="00046AFD" w:rsidRDefault="00A606D1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140.000</w:t>
            </w:r>
          </w:p>
        </w:tc>
        <w:tc>
          <w:tcPr>
            <w:tcW w:w="1038" w:type="dxa"/>
          </w:tcPr>
          <w:p w14:paraId="47364B8B" w14:textId="6406F964" w:rsidR="00046AFD" w:rsidRDefault="00A606D1" w:rsidP="00DF2FA3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233,33</w:t>
            </w:r>
          </w:p>
        </w:tc>
      </w:tr>
      <w:tr w:rsidR="00DF2FA3" w:rsidRPr="00182EF9" w14:paraId="2A24902A" w14:textId="77777777" w:rsidTr="00F434FF">
        <w:tc>
          <w:tcPr>
            <w:tcW w:w="3104" w:type="dxa"/>
          </w:tcPr>
          <w:p w14:paraId="2A249026" w14:textId="77777777" w:rsidR="00DF2FA3" w:rsidRPr="00182EF9" w:rsidRDefault="00DF2FA3" w:rsidP="00DF2FA3">
            <w:pPr>
              <w:pStyle w:val="Tijeloteksta"/>
              <w:rPr>
                <w:b/>
                <w:sz w:val="18"/>
                <w:szCs w:val="18"/>
              </w:rPr>
            </w:pPr>
          </w:p>
        </w:tc>
        <w:tc>
          <w:tcPr>
            <w:tcW w:w="4904" w:type="dxa"/>
          </w:tcPr>
          <w:p w14:paraId="2A249027" w14:textId="77777777" w:rsidR="00DF2FA3" w:rsidRPr="00182EF9" w:rsidRDefault="00DF2FA3" w:rsidP="00DF2FA3">
            <w:pPr>
              <w:pStyle w:val="Tijeloteksta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UKUPNO (povećanje):</w:t>
            </w:r>
          </w:p>
        </w:tc>
        <w:tc>
          <w:tcPr>
            <w:tcW w:w="1161" w:type="dxa"/>
          </w:tcPr>
          <w:p w14:paraId="2A249028" w14:textId="6AD1620D" w:rsidR="00DF2FA3" w:rsidRPr="00182EF9" w:rsidRDefault="00D54BB4" w:rsidP="00DF2FA3">
            <w:pPr>
              <w:pStyle w:val="Tijeloteksta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1.074.000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38" w:type="dxa"/>
          </w:tcPr>
          <w:p w14:paraId="2A249029" w14:textId="77777777" w:rsidR="00DF2FA3" w:rsidRPr="00182EF9" w:rsidRDefault="00DF2FA3" w:rsidP="00DF2FA3">
            <w:pPr>
              <w:pStyle w:val="Tijeloteksta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2A24902B" w14:textId="77777777" w:rsidR="00E503CF" w:rsidRDefault="00E503CF" w:rsidP="004F797D">
      <w:pPr>
        <w:pStyle w:val="Tijeloteksta"/>
        <w:ind w:firstLine="720"/>
      </w:pPr>
    </w:p>
    <w:p w14:paraId="50A58B66" w14:textId="29043B53" w:rsidR="0061195B" w:rsidRDefault="0061195B" w:rsidP="004F3EED">
      <w:pPr>
        <w:pStyle w:val="Tijeloteksta"/>
        <w:ind w:firstLine="720"/>
      </w:pPr>
      <w:r>
        <w:t>U pogledu povećanih grantovskih izdvajanja važno</w:t>
      </w:r>
      <w:r w:rsidR="00622C10">
        <w:t xml:space="preserve"> je</w:t>
      </w:r>
      <w:r>
        <w:t xml:space="preserve"> izdvojiti</w:t>
      </w:r>
      <w:r w:rsidR="00622C10">
        <w:t xml:space="preserve"> slijedeće</w:t>
      </w:r>
      <w:r>
        <w:t>:</w:t>
      </w:r>
    </w:p>
    <w:p w14:paraId="4DE12553" w14:textId="4E596C7E" w:rsidR="0061195B" w:rsidRPr="00437A0D" w:rsidRDefault="004D0F03" w:rsidP="00A40AAA">
      <w:pPr>
        <w:pStyle w:val="Tijeloteksta"/>
        <w:numPr>
          <w:ilvl w:val="0"/>
          <w:numId w:val="7"/>
        </w:numPr>
      </w:pPr>
      <w:r w:rsidRPr="00437A0D">
        <w:t>Radi osiguranja kvalitetne primarne i sekundarne zdravstvene zaštite</w:t>
      </w:r>
      <w:r w:rsidR="00F3417F">
        <w:t xml:space="preserve"> na području Županije Posavske</w:t>
      </w:r>
      <w:r w:rsidR="002E7882" w:rsidRPr="00437A0D">
        <w:t>,</w:t>
      </w:r>
      <w:r w:rsidR="00A96C7B" w:rsidRPr="00437A0D">
        <w:t xml:space="preserve"> i </w:t>
      </w:r>
      <w:r w:rsidR="00AD078F" w:rsidRPr="00437A0D">
        <w:t>ublažavanja</w:t>
      </w:r>
      <w:r w:rsidR="009F10AD" w:rsidRPr="00437A0D">
        <w:t xml:space="preserve"> tekućih financijskih problema zdravstvenih ustanova na području Županije Posavske</w:t>
      </w:r>
      <w:r w:rsidR="00AD078F" w:rsidRPr="00437A0D">
        <w:t xml:space="preserve">, uočena je potreba </w:t>
      </w:r>
      <w:r w:rsidR="00437A0D" w:rsidRPr="00437A0D">
        <w:t>za povećanjem izdvajanja u ovom segmentu.</w:t>
      </w:r>
    </w:p>
    <w:p w14:paraId="19865C4D" w14:textId="7D109A21" w:rsidR="00D455FB" w:rsidRPr="00CE6B03" w:rsidRDefault="007857B8" w:rsidP="00A40AAA">
      <w:pPr>
        <w:pStyle w:val="Tijeloteksta"/>
        <w:numPr>
          <w:ilvl w:val="0"/>
          <w:numId w:val="7"/>
        </w:numPr>
      </w:pPr>
      <w:r w:rsidRPr="00CE6B03">
        <w:t xml:space="preserve">Od listopada 2024. godine </w:t>
      </w:r>
      <w:r w:rsidR="00196EAA" w:rsidRPr="00CE6B03">
        <w:t xml:space="preserve">primjenjuje se </w:t>
      </w:r>
      <w:r w:rsidR="00196EAA" w:rsidRPr="00CE6B03">
        <w:rPr>
          <w:lang w:val="en-GB"/>
        </w:rPr>
        <w:t>uvećana osnovica</w:t>
      </w:r>
      <w:r w:rsidR="00CE6B03" w:rsidRPr="00CE6B03">
        <w:rPr>
          <w:lang w:val="en-GB"/>
        </w:rPr>
        <w:t xml:space="preserve"> za obračun naknada za civilne žrtve rata</w:t>
      </w:r>
      <w:r w:rsidR="00196EAA" w:rsidRPr="00CE6B03">
        <w:rPr>
          <w:lang w:val="en-GB"/>
        </w:rPr>
        <w:t xml:space="preserve">, što uključuje i retroaktivnu isplatu za srpanj, kolovoz i rujan 2024. godine. Usklađivanje osnovice civilnih žrtava rata s osnovicom boračke populacije rezultat je primjene novog Zakona o zaštiti civilnih žrtava rata koji je stupio na snagu siječnja ove godine. </w:t>
      </w:r>
    </w:p>
    <w:p w14:paraId="582A0656" w14:textId="42B954F0" w:rsidR="00746CF7" w:rsidRDefault="00720C4A" w:rsidP="00A40AAA">
      <w:pPr>
        <w:pStyle w:val="Tijeloteksta"/>
        <w:numPr>
          <w:ilvl w:val="0"/>
          <w:numId w:val="7"/>
        </w:numPr>
      </w:pPr>
      <w:r>
        <w:t xml:space="preserve">U 2024. godini </w:t>
      </w:r>
      <w:r w:rsidR="00D94698">
        <w:t xml:space="preserve">zabilježen je povećani broj stipendista kojima se dodjeljuju </w:t>
      </w:r>
      <w:r w:rsidR="00B3540B">
        <w:t>jednogodišnje stipendije u iznosu od 200,00 KM.</w:t>
      </w:r>
    </w:p>
    <w:p w14:paraId="0711E9C8" w14:textId="0862FA53" w:rsidR="0029177E" w:rsidRDefault="000A6B19" w:rsidP="00A40AAA">
      <w:pPr>
        <w:pStyle w:val="Tijeloteksta"/>
        <w:numPr>
          <w:ilvl w:val="0"/>
          <w:numId w:val="7"/>
        </w:numPr>
      </w:pPr>
      <w:r>
        <w:t>U</w:t>
      </w:r>
      <w:r w:rsidR="00AB4850" w:rsidRPr="00A11585">
        <w:t xml:space="preserve">z uobičajeno poticanje biljne i animalne proizvodnje, </w:t>
      </w:r>
      <w:r>
        <w:t xml:space="preserve">provođenje </w:t>
      </w:r>
      <w:r w:rsidR="00AD0443" w:rsidRPr="00A11585">
        <w:t>mjer</w:t>
      </w:r>
      <w:r>
        <w:t>a</w:t>
      </w:r>
      <w:r w:rsidR="00AD0443" w:rsidRPr="00A11585">
        <w:t xml:space="preserve"> zaštite i ostale potpore</w:t>
      </w:r>
      <w:r>
        <w:t xml:space="preserve"> u poljoprivredi</w:t>
      </w:r>
      <w:r w:rsidR="00AD0443" w:rsidRPr="00A11585">
        <w:t xml:space="preserve">, u 2024. godini </w:t>
      </w:r>
      <w:r w:rsidR="00E500B3" w:rsidRPr="00A11585">
        <w:t xml:space="preserve">došlo je do potrebe povećanja izdvajanja za </w:t>
      </w:r>
      <w:r w:rsidR="00E500B3" w:rsidRPr="00A11585">
        <w:lastRenderedPageBreak/>
        <w:t xml:space="preserve">organizaciju dovoza i </w:t>
      </w:r>
      <w:r w:rsidR="00A11585" w:rsidRPr="00A11585">
        <w:t>distribucije</w:t>
      </w:r>
      <w:r w:rsidR="00E500B3" w:rsidRPr="00A11585">
        <w:t xml:space="preserve"> </w:t>
      </w:r>
      <w:r w:rsidR="00B14B6A" w:rsidRPr="00A11585">
        <w:t xml:space="preserve">preko 677 tisuća litara </w:t>
      </w:r>
      <w:r w:rsidR="00E500B3" w:rsidRPr="00A11585">
        <w:t xml:space="preserve">dizel goriva </w:t>
      </w:r>
      <w:r w:rsidR="00B0507A" w:rsidRPr="00A11585">
        <w:t xml:space="preserve">koje je poljoprivrednim proizvođačima Županije Posavske dodijeljeno </w:t>
      </w:r>
      <w:r w:rsidR="001A591C" w:rsidRPr="00A11585">
        <w:t>O</w:t>
      </w:r>
      <w:r w:rsidR="00B0507A" w:rsidRPr="00A11585">
        <w:t>dlukom Vlade Federacije Bosne i Hercegovine iz robnih rezervi</w:t>
      </w:r>
      <w:r w:rsidR="00A11585" w:rsidRPr="00A11585">
        <w:t xml:space="preserve">. </w:t>
      </w:r>
    </w:p>
    <w:p w14:paraId="2B824F66" w14:textId="6D3027CF" w:rsidR="00525D26" w:rsidRDefault="009B4C92" w:rsidP="00A40AAA">
      <w:pPr>
        <w:pStyle w:val="Tijeloteksta"/>
        <w:numPr>
          <w:ilvl w:val="0"/>
          <w:numId w:val="7"/>
        </w:numPr>
      </w:pPr>
      <w:r>
        <w:t xml:space="preserve">U razdoblju siječanj-listopad 2024. godine zabilježen je </w:t>
      </w:r>
      <w:r w:rsidR="004D6BF9">
        <w:t>značajno veći</w:t>
      </w:r>
      <w:r>
        <w:t xml:space="preserve"> broj zahtjeva za povrat</w:t>
      </w:r>
      <w:r w:rsidR="00023501">
        <w:t xml:space="preserve"> više/pogrešno uplaćenih sredstava </w:t>
      </w:r>
      <w:r w:rsidR="00223F85">
        <w:t>s</w:t>
      </w:r>
      <w:r w:rsidR="00023501">
        <w:t xml:space="preserve"> Jedinstven</w:t>
      </w:r>
      <w:r w:rsidR="00223F85">
        <w:t>og</w:t>
      </w:r>
      <w:r w:rsidR="00023501">
        <w:t xml:space="preserve"> račun</w:t>
      </w:r>
      <w:r w:rsidR="00223F85">
        <w:t>a</w:t>
      </w:r>
      <w:r w:rsidR="00023501">
        <w:t xml:space="preserve"> riznice </w:t>
      </w:r>
      <w:r w:rsidR="004D6BF9">
        <w:t>u odnosu na prethodne godine.</w:t>
      </w:r>
    </w:p>
    <w:p w14:paraId="18FA8D4D" w14:textId="77777777" w:rsidR="008A5315" w:rsidRDefault="008A5315" w:rsidP="004F3EED">
      <w:pPr>
        <w:pStyle w:val="Tijeloteksta"/>
        <w:ind w:firstLine="720"/>
      </w:pPr>
    </w:p>
    <w:p w14:paraId="2A24902C" w14:textId="0A026572" w:rsidR="004F3EED" w:rsidRPr="00182EF9" w:rsidRDefault="004F3EED" w:rsidP="004F3EED">
      <w:pPr>
        <w:pStyle w:val="Tijeloteksta"/>
        <w:ind w:firstLine="720"/>
      </w:pPr>
      <w:r w:rsidRPr="00182EF9">
        <w:t xml:space="preserve">Smanjena potrošnja u odnosu na </w:t>
      </w:r>
      <w:r w:rsidR="008154F4" w:rsidRPr="00182EF9">
        <w:t>važeći Proračun planirana je kako slijedi</w:t>
      </w:r>
      <w:r w:rsidRPr="00182EF9">
        <w:t>:</w:t>
      </w:r>
    </w:p>
    <w:p w14:paraId="2A24902D" w14:textId="77777777" w:rsidR="004F3EED" w:rsidRPr="00182EF9" w:rsidRDefault="004F3EED" w:rsidP="004F3EED">
      <w:pPr>
        <w:pStyle w:val="Tijeloteksta"/>
        <w:ind w:firstLine="720"/>
      </w:pPr>
    </w:p>
    <w:tbl>
      <w:tblPr>
        <w:tblStyle w:val="Reetkatablice"/>
        <w:tblW w:w="10207" w:type="dxa"/>
        <w:tblInd w:w="-318" w:type="dxa"/>
        <w:tblLook w:val="04A0" w:firstRow="1" w:lastRow="0" w:firstColumn="1" w:lastColumn="0" w:noHBand="0" w:noVBand="1"/>
      </w:tblPr>
      <w:tblGrid>
        <w:gridCol w:w="3104"/>
        <w:gridCol w:w="4904"/>
        <w:gridCol w:w="1161"/>
        <w:gridCol w:w="1038"/>
      </w:tblGrid>
      <w:tr w:rsidR="004F3EED" w:rsidRPr="00182EF9" w14:paraId="2A249032" w14:textId="77777777" w:rsidTr="00ED0CD5">
        <w:tc>
          <w:tcPr>
            <w:tcW w:w="3104" w:type="dxa"/>
            <w:vAlign w:val="center"/>
          </w:tcPr>
          <w:p w14:paraId="2A24902E" w14:textId="77777777" w:rsidR="004F3EED" w:rsidRPr="00182EF9" w:rsidRDefault="004F3EED" w:rsidP="00494C05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Proračunski korisnik</w:t>
            </w:r>
          </w:p>
        </w:tc>
        <w:tc>
          <w:tcPr>
            <w:tcW w:w="4904" w:type="dxa"/>
            <w:vAlign w:val="center"/>
          </w:tcPr>
          <w:p w14:paraId="2A24902F" w14:textId="77777777" w:rsidR="004F3EED" w:rsidRPr="00182EF9" w:rsidRDefault="004F3EED" w:rsidP="00494C05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Pozicija</w:t>
            </w:r>
          </w:p>
        </w:tc>
        <w:tc>
          <w:tcPr>
            <w:tcW w:w="1161" w:type="dxa"/>
            <w:vAlign w:val="center"/>
          </w:tcPr>
          <w:p w14:paraId="2A249030" w14:textId="77777777" w:rsidR="004F3EED" w:rsidRPr="00182EF9" w:rsidRDefault="008154F4" w:rsidP="00494C05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Smanjenje</w:t>
            </w:r>
            <w:r w:rsidR="004F3EED" w:rsidRPr="00182EF9">
              <w:rPr>
                <w:b/>
                <w:sz w:val="18"/>
                <w:szCs w:val="18"/>
              </w:rPr>
              <w:t xml:space="preserve"> u KM</w:t>
            </w:r>
          </w:p>
        </w:tc>
        <w:tc>
          <w:tcPr>
            <w:tcW w:w="1038" w:type="dxa"/>
            <w:vAlign w:val="center"/>
          </w:tcPr>
          <w:p w14:paraId="2A249031" w14:textId="77777777" w:rsidR="004F3EED" w:rsidRPr="00182EF9" w:rsidRDefault="008154F4" w:rsidP="00494C05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Smanjenje</w:t>
            </w:r>
            <w:r w:rsidR="004F3EED" w:rsidRPr="00182EF9">
              <w:rPr>
                <w:b/>
                <w:sz w:val="18"/>
                <w:szCs w:val="18"/>
              </w:rPr>
              <w:t xml:space="preserve"> u %</w:t>
            </w:r>
          </w:p>
        </w:tc>
      </w:tr>
      <w:tr w:rsidR="00890F7E" w:rsidRPr="00182EF9" w14:paraId="0F1FB567" w14:textId="77777777" w:rsidTr="00ED0CD5">
        <w:tc>
          <w:tcPr>
            <w:tcW w:w="3104" w:type="dxa"/>
          </w:tcPr>
          <w:p w14:paraId="682B4456" w14:textId="2D6C4546" w:rsidR="00890F7E" w:rsidRDefault="00890F7E" w:rsidP="00494C0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Vlada Županije Posavske</w:t>
            </w:r>
          </w:p>
        </w:tc>
        <w:tc>
          <w:tcPr>
            <w:tcW w:w="4904" w:type="dxa"/>
          </w:tcPr>
          <w:p w14:paraId="5EE97B92" w14:textId="6D53AF90" w:rsidR="00890F7E" w:rsidRDefault="00890F7E" w:rsidP="008154F4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614100 – Grant za Sveučilište u Mostaru</w:t>
            </w:r>
          </w:p>
        </w:tc>
        <w:tc>
          <w:tcPr>
            <w:tcW w:w="1161" w:type="dxa"/>
          </w:tcPr>
          <w:p w14:paraId="3E367232" w14:textId="5D8EAFB8" w:rsidR="00890F7E" w:rsidRDefault="00890F7E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</w:t>
            </w:r>
          </w:p>
        </w:tc>
        <w:tc>
          <w:tcPr>
            <w:tcW w:w="1038" w:type="dxa"/>
          </w:tcPr>
          <w:p w14:paraId="49C7C00E" w14:textId="107E312C" w:rsidR="00890F7E" w:rsidRDefault="003A6475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33,33</w:t>
            </w:r>
          </w:p>
        </w:tc>
      </w:tr>
      <w:tr w:rsidR="004F3EED" w:rsidRPr="00182EF9" w14:paraId="2A249041" w14:textId="77777777" w:rsidTr="00ED0CD5">
        <w:tc>
          <w:tcPr>
            <w:tcW w:w="3104" w:type="dxa"/>
          </w:tcPr>
          <w:p w14:paraId="2A24903D" w14:textId="5CF531C4" w:rsidR="004F3EED" w:rsidRPr="00182EF9" w:rsidRDefault="00A8489E" w:rsidP="00494C0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Min.prosvjete, znanosti, kulture i sporta</w:t>
            </w:r>
          </w:p>
        </w:tc>
        <w:tc>
          <w:tcPr>
            <w:tcW w:w="4904" w:type="dxa"/>
          </w:tcPr>
          <w:p w14:paraId="2A24903E" w14:textId="06097657" w:rsidR="004F3EED" w:rsidRPr="00182EF9" w:rsidRDefault="00A8489E" w:rsidP="00494C0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614200 – Grant za predškolsko, osnovno i srednje obrazovanje</w:t>
            </w:r>
          </w:p>
        </w:tc>
        <w:tc>
          <w:tcPr>
            <w:tcW w:w="1161" w:type="dxa"/>
          </w:tcPr>
          <w:p w14:paraId="2A24903F" w14:textId="5B422D7C" w:rsidR="004F3EED" w:rsidRPr="00182EF9" w:rsidRDefault="00314A2F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6.000</w:t>
            </w:r>
          </w:p>
        </w:tc>
        <w:tc>
          <w:tcPr>
            <w:tcW w:w="1038" w:type="dxa"/>
          </w:tcPr>
          <w:p w14:paraId="2A249040" w14:textId="3B7ADC2C" w:rsidR="004F3EED" w:rsidRPr="00182EF9" w:rsidRDefault="00F07636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</w:tr>
      <w:tr w:rsidR="00A8489E" w:rsidRPr="00182EF9" w14:paraId="0E7C8078" w14:textId="77777777" w:rsidTr="00ED0CD5">
        <w:tc>
          <w:tcPr>
            <w:tcW w:w="3104" w:type="dxa"/>
          </w:tcPr>
          <w:p w14:paraId="28A2A270" w14:textId="2DAC57DF" w:rsidR="00A8489E" w:rsidRPr="00182EF9" w:rsidRDefault="00A8489E" w:rsidP="00494C05">
            <w:pPr>
              <w:pStyle w:val="Tijeloteksta"/>
              <w:rPr>
                <w:sz w:val="18"/>
                <w:szCs w:val="18"/>
              </w:rPr>
            </w:pPr>
            <w:r w:rsidRPr="00A8489E">
              <w:rPr>
                <w:sz w:val="18"/>
                <w:szCs w:val="18"/>
              </w:rPr>
              <w:t>Min.poljoprivr., vodoprivr. i šumarstva</w:t>
            </w:r>
          </w:p>
        </w:tc>
        <w:tc>
          <w:tcPr>
            <w:tcW w:w="4904" w:type="dxa"/>
          </w:tcPr>
          <w:p w14:paraId="023E678D" w14:textId="4971FC3E" w:rsidR="00A8489E" w:rsidRPr="00182EF9" w:rsidRDefault="00A8489E" w:rsidP="00494C0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614500 – </w:t>
            </w:r>
            <w:r w:rsidR="00F07636">
              <w:rPr>
                <w:sz w:val="18"/>
                <w:szCs w:val="18"/>
              </w:rPr>
              <w:t>Grant za vodoprivredu</w:t>
            </w:r>
          </w:p>
        </w:tc>
        <w:tc>
          <w:tcPr>
            <w:tcW w:w="1161" w:type="dxa"/>
          </w:tcPr>
          <w:p w14:paraId="2F173CED" w14:textId="0AD464E2" w:rsidR="00A8489E" w:rsidRPr="00182EF9" w:rsidRDefault="00ED0CD5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</w:t>
            </w:r>
          </w:p>
        </w:tc>
        <w:tc>
          <w:tcPr>
            <w:tcW w:w="1038" w:type="dxa"/>
          </w:tcPr>
          <w:p w14:paraId="29892C7D" w14:textId="128164D9" w:rsidR="00A8489E" w:rsidRPr="00182EF9" w:rsidRDefault="00ED0CD5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D0CD5" w:rsidRPr="00182EF9" w14:paraId="5F95D9FA" w14:textId="77777777" w:rsidTr="00ED0CD5">
        <w:tc>
          <w:tcPr>
            <w:tcW w:w="3104" w:type="dxa"/>
          </w:tcPr>
          <w:p w14:paraId="2D8B9624" w14:textId="77777777" w:rsidR="00ED0CD5" w:rsidRPr="00182EF9" w:rsidRDefault="00ED0CD5" w:rsidP="00224A22">
            <w:pPr>
              <w:pStyle w:val="Tijeloteksta"/>
              <w:rPr>
                <w:sz w:val="18"/>
                <w:szCs w:val="18"/>
              </w:rPr>
            </w:pPr>
            <w:r w:rsidRPr="00A8489E">
              <w:rPr>
                <w:sz w:val="18"/>
                <w:szCs w:val="18"/>
              </w:rPr>
              <w:t>Min.poljoprivr., vodoprivr. i šumarstva</w:t>
            </w:r>
          </w:p>
        </w:tc>
        <w:tc>
          <w:tcPr>
            <w:tcW w:w="4904" w:type="dxa"/>
          </w:tcPr>
          <w:p w14:paraId="5F0BA17E" w14:textId="13C67B2B" w:rsidR="00ED0CD5" w:rsidRPr="00182EF9" w:rsidRDefault="00ED0CD5" w:rsidP="00224A22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614500 – Grant za uređenje poljoprivrednog zemljišta</w:t>
            </w:r>
          </w:p>
        </w:tc>
        <w:tc>
          <w:tcPr>
            <w:tcW w:w="1161" w:type="dxa"/>
          </w:tcPr>
          <w:p w14:paraId="5C3F4460" w14:textId="5BCEC021" w:rsidR="00ED0CD5" w:rsidRPr="00182EF9" w:rsidRDefault="002722A1" w:rsidP="00224A22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120.000</w:t>
            </w:r>
          </w:p>
        </w:tc>
        <w:tc>
          <w:tcPr>
            <w:tcW w:w="1038" w:type="dxa"/>
          </w:tcPr>
          <w:p w14:paraId="022EFC68" w14:textId="6042654C" w:rsidR="00ED0CD5" w:rsidRPr="00182EF9" w:rsidRDefault="002722A1" w:rsidP="00224A22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48,00</w:t>
            </w:r>
          </w:p>
        </w:tc>
      </w:tr>
      <w:tr w:rsidR="00A8489E" w:rsidRPr="00182EF9" w14:paraId="3E3A0CA4" w14:textId="77777777" w:rsidTr="00ED0CD5">
        <w:tc>
          <w:tcPr>
            <w:tcW w:w="3104" w:type="dxa"/>
          </w:tcPr>
          <w:p w14:paraId="789A3DBA" w14:textId="5449A0D4" w:rsidR="00A8489E" w:rsidRPr="00182EF9" w:rsidRDefault="00A8489E" w:rsidP="00494C0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Ministarstvo financija</w:t>
            </w:r>
          </w:p>
        </w:tc>
        <w:tc>
          <w:tcPr>
            <w:tcW w:w="4904" w:type="dxa"/>
          </w:tcPr>
          <w:p w14:paraId="503EF54A" w14:textId="2AF05879" w:rsidR="00A8489E" w:rsidRPr="00182EF9" w:rsidRDefault="00A8489E" w:rsidP="00494C0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614800 – Ostali grantovi-izvršenje sudskih presuda i rješenja</w:t>
            </w:r>
          </w:p>
        </w:tc>
        <w:tc>
          <w:tcPr>
            <w:tcW w:w="1161" w:type="dxa"/>
          </w:tcPr>
          <w:p w14:paraId="1A55074E" w14:textId="249A1B5A" w:rsidR="00A8489E" w:rsidRPr="00182EF9" w:rsidRDefault="002722A1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8.500</w:t>
            </w:r>
          </w:p>
        </w:tc>
        <w:tc>
          <w:tcPr>
            <w:tcW w:w="1038" w:type="dxa"/>
          </w:tcPr>
          <w:p w14:paraId="4B05F2A2" w14:textId="606F72B6" w:rsidR="00A8489E" w:rsidRPr="00182EF9" w:rsidRDefault="002722A1" w:rsidP="00494C0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8154F4" w:rsidRPr="00182EF9" w14:paraId="2A249050" w14:textId="77777777" w:rsidTr="00ED0CD5">
        <w:tc>
          <w:tcPr>
            <w:tcW w:w="3104" w:type="dxa"/>
          </w:tcPr>
          <w:p w14:paraId="2A24904C" w14:textId="77777777" w:rsidR="008154F4" w:rsidRPr="00182EF9" w:rsidRDefault="008154F4" w:rsidP="00494C05">
            <w:pPr>
              <w:pStyle w:val="Tijeloteksta"/>
              <w:rPr>
                <w:b/>
                <w:sz w:val="18"/>
                <w:szCs w:val="18"/>
              </w:rPr>
            </w:pPr>
          </w:p>
        </w:tc>
        <w:tc>
          <w:tcPr>
            <w:tcW w:w="4904" w:type="dxa"/>
          </w:tcPr>
          <w:p w14:paraId="2A24904D" w14:textId="77777777" w:rsidR="008154F4" w:rsidRPr="00182EF9" w:rsidRDefault="008154F4" w:rsidP="00062075">
            <w:pPr>
              <w:pStyle w:val="Tijeloteksta"/>
              <w:rPr>
                <w:b/>
                <w:sz w:val="18"/>
                <w:szCs w:val="18"/>
              </w:rPr>
            </w:pPr>
            <w:r w:rsidRPr="00182EF9">
              <w:rPr>
                <w:b/>
                <w:sz w:val="18"/>
                <w:szCs w:val="18"/>
              </w:rPr>
              <w:t>UKUPNO (</w:t>
            </w:r>
            <w:r w:rsidR="00062075" w:rsidRPr="00182EF9">
              <w:rPr>
                <w:b/>
                <w:sz w:val="18"/>
                <w:szCs w:val="18"/>
              </w:rPr>
              <w:t>smanjenje</w:t>
            </w:r>
            <w:r w:rsidRPr="00182EF9">
              <w:rPr>
                <w:b/>
                <w:sz w:val="18"/>
                <w:szCs w:val="18"/>
              </w:rPr>
              <w:t>):</w:t>
            </w:r>
          </w:p>
        </w:tc>
        <w:tc>
          <w:tcPr>
            <w:tcW w:w="1161" w:type="dxa"/>
          </w:tcPr>
          <w:p w14:paraId="2A24904E" w14:textId="60FFA58E" w:rsidR="008154F4" w:rsidRPr="00182EF9" w:rsidRDefault="002722A1" w:rsidP="00494C05">
            <w:pPr>
              <w:pStyle w:val="Tijeloteksta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334.500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38" w:type="dxa"/>
          </w:tcPr>
          <w:p w14:paraId="2A24904F" w14:textId="77777777" w:rsidR="008154F4" w:rsidRPr="00182EF9" w:rsidRDefault="008154F4" w:rsidP="00494C05">
            <w:pPr>
              <w:pStyle w:val="Tijeloteksta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2A249051" w14:textId="77777777" w:rsidR="004F3EED" w:rsidRPr="00182EF9" w:rsidRDefault="004F3EED" w:rsidP="004F797D">
      <w:pPr>
        <w:pStyle w:val="Tijeloteksta"/>
        <w:ind w:firstLine="720"/>
      </w:pPr>
    </w:p>
    <w:p w14:paraId="2A249052" w14:textId="62E10C2E" w:rsidR="00254779" w:rsidRDefault="00254779" w:rsidP="00254779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Ostali tekući grantovi ostaju na razini </w:t>
      </w:r>
      <w:r w:rsidR="00A8489E">
        <w:rPr>
          <w:lang w:val="hr-HR"/>
        </w:rPr>
        <w:t>prvobitno</w:t>
      </w:r>
      <w:r w:rsidRPr="00182EF9">
        <w:rPr>
          <w:lang w:val="hr-HR"/>
        </w:rPr>
        <w:t xml:space="preserve"> planiranog.</w:t>
      </w:r>
    </w:p>
    <w:p w14:paraId="2165C778" w14:textId="77777777" w:rsidR="00A8489E" w:rsidRPr="00182EF9" w:rsidRDefault="00A8489E" w:rsidP="00254779">
      <w:pPr>
        <w:ind w:firstLine="720"/>
        <w:jc w:val="both"/>
        <w:rPr>
          <w:lang w:val="hr-HR"/>
        </w:rPr>
      </w:pPr>
    </w:p>
    <w:p w14:paraId="2A249053" w14:textId="38C05B2C" w:rsidR="0032477F" w:rsidRPr="00182EF9" w:rsidRDefault="0032477F" w:rsidP="0032477F">
      <w:pPr>
        <w:pStyle w:val="Tijeloteksta"/>
        <w:ind w:firstLine="720"/>
      </w:pPr>
      <w:r w:rsidRPr="00182EF9">
        <w:t xml:space="preserve">Od ukupno planiranih izdataka za tekuće grantove i druge tekuće rashode </w:t>
      </w:r>
      <w:r w:rsidR="005E2EA5">
        <w:t>89,76</w:t>
      </w:r>
      <w:r w:rsidRPr="00182EF9">
        <w:t>% će se financirati iz proračunskih prihoda (</w:t>
      </w:r>
      <w:r w:rsidR="00392561">
        <w:t>14.983.430</w:t>
      </w:r>
      <w:r w:rsidRPr="00182EF9">
        <w:t xml:space="preserve"> KM), dok će se </w:t>
      </w:r>
      <w:r w:rsidR="009E0217">
        <w:t>1.</w:t>
      </w:r>
      <w:r w:rsidR="005E2EA5">
        <w:t>710</w:t>
      </w:r>
      <w:r w:rsidR="009E0217">
        <w:t>.</w:t>
      </w:r>
      <w:r w:rsidR="005E2EA5">
        <w:t>0</w:t>
      </w:r>
      <w:r w:rsidR="009E0217">
        <w:t>70</w:t>
      </w:r>
      <w:r w:rsidRPr="00182EF9">
        <w:t xml:space="preserve"> KM ili </w:t>
      </w:r>
      <w:r w:rsidR="00A0545C">
        <w:t>10,24</w:t>
      </w:r>
      <w:r w:rsidRPr="00182EF9">
        <w:t>% financirati iz namjenskih prihoda.</w:t>
      </w:r>
    </w:p>
    <w:p w14:paraId="2A249054" w14:textId="77777777" w:rsidR="00EC6125" w:rsidRPr="00182EF9" w:rsidRDefault="00095133" w:rsidP="00EC6125">
      <w:pPr>
        <w:pStyle w:val="Tijeloteksta"/>
      </w:pPr>
      <w:r w:rsidRPr="00182EF9">
        <w:tab/>
        <w:t>Potrošnja namjenskih prihoda, koja je uređena županijskim, federalnim ili drž</w:t>
      </w:r>
      <w:r w:rsidR="00EE2F6F" w:rsidRPr="00182EF9">
        <w:t>avnim propisima, usklađena je s</w:t>
      </w:r>
      <w:r w:rsidRPr="00182EF9">
        <w:t xml:space="preserve"> planom njihove realizacije</w:t>
      </w:r>
      <w:r w:rsidR="00EE2F6F" w:rsidRPr="00182EF9">
        <w:t xml:space="preserve"> na odgovarajućim grantovskim pozicijama. </w:t>
      </w:r>
    </w:p>
    <w:p w14:paraId="2A249064" w14:textId="77777777" w:rsidR="00DE2EAD" w:rsidRPr="00182EF9" w:rsidRDefault="00DE2EAD">
      <w:pPr>
        <w:pStyle w:val="Naslov7"/>
        <w:spacing w:line="240" w:lineRule="auto"/>
        <w:ind w:firstLine="720"/>
      </w:pPr>
    </w:p>
    <w:p w14:paraId="2A249065" w14:textId="77777777" w:rsidR="00593A7C" w:rsidRPr="00182EF9" w:rsidRDefault="007A67BB">
      <w:pPr>
        <w:pStyle w:val="Naslov7"/>
        <w:spacing w:line="240" w:lineRule="auto"/>
        <w:ind w:firstLine="720"/>
      </w:pPr>
      <w:r w:rsidRPr="00182EF9">
        <w:t>5</w:t>
      </w:r>
      <w:r w:rsidR="00445243" w:rsidRPr="00182EF9">
        <w:t xml:space="preserve">.1.5. </w:t>
      </w:r>
      <w:r w:rsidR="00445243" w:rsidRPr="00182EF9">
        <w:tab/>
        <w:t>Kapitalni grantovi</w:t>
      </w:r>
    </w:p>
    <w:p w14:paraId="2A249066" w14:textId="269F7D9A" w:rsidR="00F85221" w:rsidRPr="00182EF9" w:rsidRDefault="00445243" w:rsidP="0008395F">
      <w:pPr>
        <w:pStyle w:val="Tijeloteksta"/>
        <w:ind w:firstLine="720"/>
      </w:pPr>
      <w:r w:rsidRPr="00182EF9">
        <w:t xml:space="preserve">Kapitalni grantovi (potkategorija 615000) planirani su u visini od </w:t>
      </w:r>
      <w:r w:rsidR="00A0545C">
        <w:t>1.750</w:t>
      </w:r>
      <w:r w:rsidR="00BA22F7">
        <w:t>.000</w:t>
      </w:r>
      <w:r w:rsidRPr="00182EF9">
        <w:t xml:space="preserve"> KM i </w:t>
      </w:r>
      <w:r w:rsidR="00F85221" w:rsidRPr="00182EF9">
        <w:t xml:space="preserve">u odnosu na </w:t>
      </w:r>
      <w:r w:rsidR="007A67BB" w:rsidRPr="00182EF9">
        <w:t>prvobitni</w:t>
      </w:r>
      <w:r w:rsidR="00F85221" w:rsidRPr="00182EF9">
        <w:t xml:space="preserve"> plan </w:t>
      </w:r>
      <w:r w:rsidR="00BA22F7">
        <w:t>povećani</w:t>
      </w:r>
      <w:r w:rsidR="00F85221" w:rsidRPr="00182EF9">
        <w:t xml:space="preserve"> su </w:t>
      </w:r>
      <w:r w:rsidR="00BB427D">
        <w:t>2,94</w:t>
      </w:r>
      <w:r w:rsidR="00F85221" w:rsidRPr="00182EF9">
        <w:t xml:space="preserve">% ili </w:t>
      </w:r>
      <w:r w:rsidR="00BA22F7">
        <w:t>veći</w:t>
      </w:r>
      <w:r w:rsidR="007A67BB" w:rsidRPr="00182EF9">
        <w:t xml:space="preserve"> </w:t>
      </w:r>
      <w:r w:rsidR="00F85221" w:rsidRPr="00182EF9">
        <w:t xml:space="preserve">za </w:t>
      </w:r>
      <w:r w:rsidR="00BB427D">
        <w:t>50</w:t>
      </w:r>
      <w:r w:rsidR="00BA22F7">
        <w:t>.000</w:t>
      </w:r>
      <w:r w:rsidR="00D968C9" w:rsidRPr="00182EF9">
        <w:t xml:space="preserve"> KM</w:t>
      </w:r>
      <w:r w:rsidR="00CF6895" w:rsidRPr="00182EF9">
        <w:t>.</w:t>
      </w:r>
      <w:r w:rsidR="0008395F" w:rsidRPr="00182EF9">
        <w:t xml:space="preserve"> </w:t>
      </w:r>
    </w:p>
    <w:p w14:paraId="7B70CB1E" w14:textId="379B58A1" w:rsidR="00916C41" w:rsidRDefault="00BA22F7" w:rsidP="00916C41">
      <w:pPr>
        <w:pStyle w:val="Default"/>
        <w:jc w:val="both"/>
        <w:rPr>
          <w:sz w:val="22"/>
          <w:szCs w:val="22"/>
        </w:rPr>
      </w:pPr>
      <w:r>
        <w:t>Povećanje</w:t>
      </w:r>
      <w:r w:rsidR="00912D37" w:rsidRPr="00182EF9">
        <w:t xml:space="preserve"> se odnosi na Kapitalni grant za razvoj poduzetništva, obrta i zadruga (razdjel 15. Ministarstvo gospodarstva, rada i prostornog uređenja Županije Posavske), koji iznosi </w:t>
      </w:r>
      <w:r w:rsidR="00373F14">
        <w:t>1.100.000</w:t>
      </w:r>
      <w:r w:rsidR="00912D37" w:rsidRPr="00182EF9">
        <w:t xml:space="preserve"> KM (</w:t>
      </w:r>
      <w:r>
        <w:t>povećanje</w:t>
      </w:r>
      <w:r w:rsidR="00912D37" w:rsidRPr="00182EF9">
        <w:t xml:space="preserve"> </w:t>
      </w:r>
      <w:r w:rsidR="009F1522">
        <w:t xml:space="preserve">za 250.000 KM ili </w:t>
      </w:r>
      <w:r w:rsidR="00373F14">
        <w:t>29,41</w:t>
      </w:r>
      <w:r w:rsidR="00912D37" w:rsidRPr="00DF0FE3">
        <w:t>%)</w:t>
      </w:r>
      <w:r w:rsidR="00916C41" w:rsidRPr="00DF0FE3">
        <w:t xml:space="preserve">, u svrhu povećane potrebe </w:t>
      </w:r>
      <w:r w:rsidR="00DF0FE3" w:rsidRPr="00DF0FE3">
        <w:t>p</w:t>
      </w:r>
      <w:r w:rsidR="00916C41" w:rsidRPr="00DF0FE3">
        <w:t>oticanj</w:t>
      </w:r>
      <w:r w:rsidR="00DF0FE3" w:rsidRPr="00DF0FE3">
        <w:t>a</w:t>
      </w:r>
      <w:r w:rsidR="00916C41" w:rsidRPr="00DF0FE3">
        <w:t xml:space="preserve"> razvoja poduzetništva, obrta i zadruga putem investicijskog ulaganja u nabavku osnovnih sredstava</w:t>
      </w:r>
      <w:r w:rsidR="00DF0FE3" w:rsidRPr="00DF0FE3">
        <w:t>.</w:t>
      </w:r>
    </w:p>
    <w:p w14:paraId="2A249067" w14:textId="417FC24B" w:rsidR="003830B4" w:rsidRPr="00182EF9" w:rsidRDefault="00BA22F7" w:rsidP="003830B4">
      <w:pPr>
        <w:ind w:firstLine="720"/>
        <w:jc w:val="both"/>
        <w:rPr>
          <w:lang w:val="hr-HR"/>
        </w:rPr>
      </w:pPr>
      <w:r>
        <w:rPr>
          <w:lang w:val="hr-HR"/>
        </w:rPr>
        <w:t xml:space="preserve"> </w:t>
      </w:r>
      <w:r w:rsidR="00912D37" w:rsidRPr="00182EF9">
        <w:rPr>
          <w:lang w:val="hr-HR"/>
        </w:rPr>
        <w:t xml:space="preserve">Ostali kapitalni grantovi ostaju na razini </w:t>
      </w:r>
      <w:r>
        <w:rPr>
          <w:lang w:val="hr-HR"/>
        </w:rPr>
        <w:t>prvobitno</w:t>
      </w:r>
      <w:r w:rsidR="00912D37" w:rsidRPr="00182EF9">
        <w:rPr>
          <w:lang w:val="hr-HR"/>
        </w:rPr>
        <w:t xml:space="preserve"> planiranog</w:t>
      </w:r>
      <w:r w:rsidR="00121914">
        <w:rPr>
          <w:lang w:val="hr-HR"/>
        </w:rPr>
        <w:t xml:space="preserve">, izuzev kapitalnog granta pri Vladi Županije Posavske </w:t>
      </w:r>
      <w:r w:rsidR="00DF0FE3">
        <w:rPr>
          <w:lang w:val="hr-HR"/>
        </w:rPr>
        <w:t>(</w:t>
      </w:r>
      <w:r w:rsidR="00121914">
        <w:rPr>
          <w:lang w:val="hr-HR"/>
        </w:rPr>
        <w:t>prvobitno planiran u iznosu od 200.000 KM</w:t>
      </w:r>
      <w:r w:rsidR="00DF0FE3">
        <w:rPr>
          <w:lang w:val="hr-HR"/>
        </w:rPr>
        <w:t>)</w:t>
      </w:r>
      <w:r w:rsidR="00815093">
        <w:rPr>
          <w:lang w:val="hr-HR"/>
        </w:rPr>
        <w:t xml:space="preserve"> </w:t>
      </w:r>
      <w:r w:rsidR="00DF0FE3">
        <w:rPr>
          <w:lang w:val="hr-HR"/>
        </w:rPr>
        <w:t>čija realizacija se</w:t>
      </w:r>
      <w:r w:rsidR="00815093">
        <w:rPr>
          <w:lang w:val="hr-HR"/>
        </w:rPr>
        <w:t xml:space="preserve"> ne planira.</w:t>
      </w:r>
    </w:p>
    <w:p w14:paraId="2A249068" w14:textId="1030B1C1" w:rsidR="003830B4" w:rsidRPr="00182EF9" w:rsidRDefault="003830B4" w:rsidP="003830B4">
      <w:pPr>
        <w:pStyle w:val="Tijeloteksta"/>
        <w:ind w:firstLine="720"/>
      </w:pPr>
      <w:r w:rsidRPr="00182EF9">
        <w:t xml:space="preserve">Od ukupno planiranih izdataka za kapitalne grantove </w:t>
      </w:r>
      <w:r w:rsidR="000C1138">
        <w:t>37,14</w:t>
      </w:r>
      <w:r w:rsidRPr="00182EF9">
        <w:t xml:space="preserve">% će se financirati iz namjenskih prihoda i potpora </w:t>
      </w:r>
      <w:r w:rsidR="00CB3695" w:rsidRPr="00182EF9">
        <w:t>–</w:t>
      </w:r>
      <w:r w:rsidRPr="00182EF9">
        <w:t xml:space="preserve"> </w:t>
      </w:r>
      <w:r w:rsidR="00CB3695" w:rsidRPr="00182EF9">
        <w:t>vodne naknade, naknade za korištenje poljoprivrednog zemljišta u nepoljoprivredne svrhe</w:t>
      </w:r>
      <w:r w:rsidR="00BA22F7">
        <w:t>, tekuće i kapitalne</w:t>
      </w:r>
      <w:r w:rsidR="00CB3695" w:rsidRPr="00182EF9">
        <w:t xml:space="preserve"> potpore </w:t>
      </w:r>
      <w:r w:rsidRPr="00182EF9">
        <w:t>(</w:t>
      </w:r>
      <w:r w:rsidR="000C1138">
        <w:t>650</w:t>
      </w:r>
      <w:r w:rsidR="00BA22F7">
        <w:t>.000</w:t>
      </w:r>
      <w:r w:rsidRPr="00182EF9">
        <w:t xml:space="preserve"> KM), dok će se </w:t>
      </w:r>
      <w:r w:rsidR="00BA22F7">
        <w:t>1.</w:t>
      </w:r>
      <w:r w:rsidR="006057BA">
        <w:t>10</w:t>
      </w:r>
      <w:r w:rsidR="00BA22F7">
        <w:t>0.000</w:t>
      </w:r>
      <w:r w:rsidRPr="00182EF9">
        <w:t xml:space="preserve"> KM ili </w:t>
      </w:r>
      <w:r w:rsidR="006057BA">
        <w:t>62,86</w:t>
      </w:r>
      <w:r w:rsidRPr="00182EF9">
        <w:t>% financirati iz proračunskih sredstava.</w:t>
      </w:r>
    </w:p>
    <w:p w14:paraId="6003402C" w14:textId="77777777" w:rsidR="006057BA" w:rsidRDefault="006057BA">
      <w:pPr>
        <w:pStyle w:val="Naslov7"/>
        <w:spacing w:line="240" w:lineRule="auto"/>
      </w:pPr>
    </w:p>
    <w:p w14:paraId="2A24906A" w14:textId="371FF4E8" w:rsidR="00593A7C" w:rsidRPr="00182EF9" w:rsidRDefault="00445243">
      <w:pPr>
        <w:pStyle w:val="Naslov7"/>
        <w:spacing w:line="240" w:lineRule="auto"/>
      </w:pPr>
      <w:r w:rsidRPr="00182EF9">
        <w:tab/>
      </w:r>
      <w:r w:rsidR="007A67BB" w:rsidRPr="00182EF9">
        <w:t>5</w:t>
      </w:r>
      <w:r w:rsidRPr="00182EF9">
        <w:t xml:space="preserve">.1.6 </w:t>
      </w:r>
      <w:r w:rsidRPr="00182EF9">
        <w:tab/>
        <w:t>Izdaci za kamate</w:t>
      </w:r>
    </w:p>
    <w:p w14:paraId="0092ABD4" w14:textId="60E2EE6B" w:rsidR="00BA22F7" w:rsidRPr="00182EF9" w:rsidRDefault="002B55C5" w:rsidP="00B94434">
      <w:pPr>
        <w:pStyle w:val="Tijeloteksta"/>
        <w:ind w:firstLine="720"/>
      </w:pPr>
      <w:r w:rsidRPr="00182EF9">
        <w:t xml:space="preserve">Planirani izdaci za kamate (potkategorija 616000) </w:t>
      </w:r>
      <w:r w:rsidR="00CB3695" w:rsidRPr="00182EF9">
        <w:t xml:space="preserve">iznose </w:t>
      </w:r>
      <w:r w:rsidR="00BA6592">
        <w:t>15.510</w:t>
      </w:r>
      <w:r w:rsidR="00CB3695" w:rsidRPr="00182EF9">
        <w:t xml:space="preserve"> KM i </w:t>
      </w:r>
      <w:r w:rsidR="00A466E4" w:rsidRPr="00182EF9">
        <w:t xml:space="preserve">uslijed kretanja tečaja korejski won-konvertibilna marka, manje su od prethodno planiranog za </w:t>
      </w:r>
      <w:r w:rsidR="00BA6592">
        <w:t>12,82</w:t>
      </w:r>
      <w:r w:rsidR="00A466E4" w:rsidRPr="00182EF9">
        <w:t xml:space="preserve">% ili za </w:t>
      </w:r>
      <w:r w:rsidR="00996B7A">
        <w:t>2.280</w:t>
      </w:r>
      <w:r w:rsidR="00A466E4" w:rsidRPr="00182EF9">
        <w:t xml:space="preserve"> KM</w:t>
      </w:r>
      <w:r w:rsidRPr="00182EF9">
        <w:rPr>
          <w:rFonts w:cs="Arial"/>
        </w:rPr>
        <w:t>.</w:t>
      </w:r>
      <w:r w:rsidR="00BA22F7">
        <w:rPr>
          <w:rFonts w:cs="Arial"/>
        </w:rPr>
        <w:t xml:space="preserve"> Iste se odnose na otplate kamata za kredit </w:t>
      </w:r>
      <w:r w:rsidR="00BA22F7" w:rsidRPr="00182EF9">
        <w:t xml:space="preserve">Export-Import banke Koreja za financiranje Faze II Projekta „Modernizacija bolnica u Bosni i Hercegovini“ u iznosu od </w:t>
      </w:r>
      <w:r w:rsidR="00996B7A">
        <w:t>12.910</w:t>
      </w:r>
      <w:r w:rsidR="00BA22F7" w:rsidRPr="00182EF9">
        <w:t xml:space="preserve"> KM, i</w:t>
      </w:r>
      <w:r w:rsidR="00B94434">
        <w:t xml:space="preserve"> </w:t>
      </w:r>
      <w:r w:rsidR="00BA22F7" w:rsidRPr="00182EF9">
        <w:t xml:space="preserve">kredita UniCredit bank Austria AG za financiranje projekta nabave, instalacije, obuke i održavanja medicinske i nemedicinske opreme i usluga u Županijskoj bolnici Orašje u iznosu od </w:t>
      </w:r>
      <w:r w:rsidR="00650D73">
        <w:t>2.600</w:t>
      </w:r>
      <w:r w:rsidR="00BA22F7" w:rsidRPr="00182EF9">
        <w:t xml:space="preserve"> KM.</w:t>
      </w:r>
    </w:p>
    <w:p w14:paraId="792AB4D2" w14:textId="77777777" w:rsidR="00B94434" w:rsidRDefault="00B94434">
      <w:pPr>
        <w:jc w:val="both"/>
        <w:rPr>
          <w:b/>
          <w:bCs/>
          <w:sz w:val="28"/>
          <w:lang w:val="hr-HR"/>
        </w:rPr>
      </w:pPr>
    </w:p>
    <w:p w14:paraId="54D4B692" w14:textId="77777777" w:rsidR="008A5315" w:rsidRDefault="008A5315">
      <w:pPr>
        <w:jc w:val="both"/>
        <w:rPr>
          <w:b/>
          <w:bCs/>
          <w:sz w:val="28"/>
          <w:lang w:val="hr-HR"/>
        </w:rPr>
      </w:pPr>
    </w:p>
    <w:p w14:paraId="0F167269" w14:textId="77777777" w:rsidR="008A5315" w:rsidRDefault="008A5315">
      <w:pPr>
        <w:jc w:val="both"/>
        <w:rPr>
          <w:b/>
          <w:bCs/>
          <w:sz w:val="28"/>
          <w:lang w:val="hr-HR"/>
        </w:rPr>
      </w:pPr>
    </w:p>
    <w:p w14:paraId="28CA5742" w14:textId="77777777" w:rsidR="008A5315" w:rsidRPr="00182EF9" w:rsidRDefault="008A5315">
      <w:pPr>
        <w:jc w:val="both"/>
        <w:rPr>
          <w:b/>
          <w:bCs/>
          <w:sz w:val="28"/>
          <w:lang w:val="hr-HR"/>
        </w:rPr>
      </w:pPr>
    </w:p>
    <w:p w14:paraId="2A24906E" w14:textId="77777777" w:rsidR="00593A7C" w:rsidRPr="00182EF9" w:rsidRDefault="007A67BB" w:rsidP="007A67BB">
      <w:pPr>
        <w:jc w:val="both"/>
        <w:rPr>
          <w:b/>
          <w:bCs/>
          <w:lang w:val="hr-HR"/>
        </w:rPr>
      </w:pPr>
      <w:r w:rsidRPr="00182EF9">
        <w:rPr>
          <w:b/>
          <w:bCs/>
          <w:lang w:val="hr-HR"/>
        </w:rPr>
        <w:lastRenderedPageBreak/>
        <w:t xml:space="preserve">5.2. </w:t>
      </w:r>
      <w:r w:rsidRPr="00182EF9">
        <w:rPr>
          <w:b/>
          <w:bCs/>
          <w:lang w:val="hr-HR"/>
        </w:rPr>
        <w:tab/>
      </w:r>
      <w:r w:rsidR="00445243" w:rsidRPr="00182EF9">
        <w:rPr>
          <w:b/>
          <w:bCs/>
          <w:lang w:val="hr-HR"/>
        </w:rPr>
        <w:t xml:space="preserve">IZDACI ZA NABAVKU </w:t>
      </w:r>
      <w:r w:rsidR="002009FB" w:rsidRPr="00182EF9">
        <w:rPr>
          <w:b/>
          <w:bCs/>
          <w:lang w:val="hr-HR"/>
        </w:rPr>
        <w:t>NEFINANCIJSKE IMOVINE</w:t>
      </w:r>
    </w:p>
    <w:p w14:paraId="2A24906F" w14:textId="77777777" w:rsidR="00593A7C" w:rsidRPr="00182EF9" w:rsidRDefault="00593A7C">
      <w:pPr>
        <w:ind w:left="720"/>
        <w:jc w:val="both"/>
        <w:rPr>
          <w:b/>
          <w:bCs/>
          <w:lang w:val="hr-HR"/>
        </w:rPr>
      </w:pPr>
    </w:p>
    <w:p w14:paraId="326887B5" w14:textId="451EC8AA" w:rsidR="00B94434" w:rsidRDefault="00445243">
      <w:pPr>
        <w:ind w:firstLine="720"/>
        <w:jc w:val="both"/>
        <w:rPr>
          <w:lang w:val="hr-HR"/>
        </w:rPr>
      </w:pPr>
      <w:r w:rsidRPr="00182EF9">
        <w:rPr>
          <w:lang w:val="hr-HR"/>
        </w:rPr>
        <w:t xml:space="preserve">Izmjenama i dopunama Proračuna za fiskalnu </w:t>
      </w:r>
      <w:r w:rsidR="00650D73">
        <w:rPr>
          <w:lang w:val="hr-HR"/>
        </w:rPr>
        <w:t>2024</w:t>
      </w:r>
      <w:r w:rsidRPr="00182EF9">
        <w:rPr>
          <w:lang w:val="hr-HR"/>
        </w:rPr>
        <w:t xml:space="preserve">. godinu </w:t>
      </w:r>
      <w:r w:rsidR="00BC616C" w:rsidRPr="00182EF9">
        <w:rPr>
          <w:lang w:val="hr-HR"/>
        </w:rPr>
        <w:t>na izdat</w:t>
      </w:r>
      <w:r w:rsidRPr="00182EF9">
        <w:rPr>
          <w:lang w:val="hr-HR"/>
        </w:rPr>
        <w:t>k</w:t>
      </w:r>
      <w:r w:rsidR="00BC616C" w:rsidRPr="00182EF9">
        <w:rPr>
          <w:lang w:val="hr-HR"/>
        </w:rPr>
        <w:t>e</w:t>
      </w:r>
      <w:r w:rsidRPr="00182EF9">
        <w:rPr>
          <w:lang w:val="hr-HR"/>
        </w:rPr>
        <w:t xml:space="preserve"> za nabavku stalnih sredstava (potkategorija 821000) planiran je iznos od </w:t>
      </w:r>
      <w:r w:rsidR="00650D73">
        <w:rPr>
          <w:lang w:val="hr-HR"/>
        </w:rPr>
        <w:t>7.377</w:t>
      </w:r>
      <w:r w:rsidR="00606987">
        <w:rPr>
          <w:lang w:val="hr-HR"/>
        </w:rPr>
        <w:t>.960</w:t>
      </w:r>
      <w:r w:rsidRPr="00182EF9">
        <w:rPr>
          <w:lang w:val="hr-HR"/>
        </w:rPr>
        <w:t xml:space="preserve"> KM, što je za </w:t>
      </w:r>
      <w:r w:rsidR="00606987">
        <w:rPr>
          <w:lang w:val="hr-HR"/>
        </w:rPr>
        <w:t>35,76</w:t>
      </w:r>
      <w:r w:rsidRPr="00182EF9">
        <w:rPr>
          <w:lang w:val="hr-HR"/>
        </w:rPr>
        <w:t xml:space="preserve">% </w:t>
      </w:r>
      <w:r w:rsidR="00CA415B" w:rsidRPr="00182EF9">
        <w:rPr>
          <w:lang w:val="hr-HR"/>
        </w:rPr>
        <w:t>više</w:t>
      </w:r>
      <w:r w:rsidRPr="00182EF9">
        <w:rPr>
          <w:lang w:val="hr-HR"/>
        </w:rPr>
        <w:t xml:space="preserve"> u odnosu na </w:t>
      </w:r>
      <w:r w:rsidR="00B94434">
        <w:rPr>
          <w:lang w:val="hr-HR"/>
        </w:rPr>
        <w:t>prvobitni</w:t>
      </w:r>
      <w:r w:rsidRPr="00182EF9">
        <w:rPr>
          <w:lang w:val="hr-HR"/>
        </w:rPr>
        <w:t xml:space="preserve"> plan. U okviru ovih izdataka</w:t>
      </w:r>
      <w:r w:rsidR="00B94434">
        <w:rPr>
          <w:lang w:val="hr-HR"/>
        </w:rPr>
        <w:t xml:space="preserve"> planirano je kako slijedi:</w:t>
      </w:r>
    </w:p>
    <w:p w14:paraId="13A1D4F9" w14:textId="743E3EC2" w:rsidR="00B94434" w:rsidRDefault="00445243" w:rsidP="00A40AAA">
      <w:pPr>
        <w:pStyle w:val="Odlomakpopisa"/>
        <w:numPr>
          <w:ilvl w:val="0"/>
          <w:numId w:val="7"/>
        </w:numPr>
        <w:jc w:val="both"/>
      </w:pPr>
      <w:r w:rsidRPr="00B94434">
        <w:t xml:space="preserve">izdaci za nabavku </w:t>
      </w:r>
      <w:r w:rsidR="00B94434" w:rsidRPr="00B94434">
        <w:t>zemljišta (glavna grupa 821100</w:t>
      </w:r>
      <w:r w:rsidR="00606987">
        <w:t xml:space="preserve">, koji su prvobitno planirani u iznosu od </w:t>
      </w:r>
      <w:r w:rsidR="002523EF">
        <w:t>1</w:t>
      </w:r>
      <w:r w:rsidR="00606987">
        <w:t>00.000 KM se neće realizirati</w:t>
      </w:r>
      <w:r w:rsidR="001E1350">
        <w:t xml:space="preserve"> pa se ne planiraju</w:t>
      </w:r>
      <w:r w:rsidR="00B94434" w:rsidRPr="00B94434">
        <w:t xml:space="preserve">, </w:t>
      </w:r>
    </w:p>
    <w:p w14:paraId="77BD54DD" w14:textId="2489D002" w:rsidR="00B94434" w:rsidRDefault="00B94434" w:rsidP="00A40AAA">
      <w:pPr>
        <w:pStyle w:val="Odlomakpopisa"/>
        <w:numPr>
          <w:ilvl w:val="0"/>
          <w:numId w:val="7"/>
        </w:numPr>
        <w:jc w:val="both"/>
      </w:pPr>
      <w:r w:rsidRPr="00B94434">
        <w:t xml:space="preserve">izdaci za nabavku građevina </w:t>
      </w:r>
      <w:r w:rsidR="00445243" w:rsidRPr="00B94434">
        <w:t xml:space="preserve">(glavna </w:t>
      </w:r>
      <w:r w:rsidR="00F02611" w:rsidRPr="00B94434">
        <w:t xml:space="preserve">grupa 821200) iznose </w:t>
      </w:r>
      <w:r w:rsidR="001E1350">
        <w:t>3.013.190</w:t>
      </w:r>
      <w:r w:rsidRPr="00B94434">
        <w:t xml:space="preserve"> </w:t>
      </w:r>
      <w:r w:rsidR="00F02611" w:rsidRPr="00B94434">
        <w:t>KM</w:t>
      </w:r>
      <w:r w:rsidR="00F85221" w:rsidRPr="00B94434">
        <w:t xml:space="preserve"> (</w:t>
      </w:r>
      <w:r w:rsidR="005238FA">
        <w:t>povećanje</w:t>
      </w:r>
      <w:r w:rsidR="00F85221" w:rsidRPr="00B94434">
        <w:t xml:space="preserve"> za </w:t>
      </w:r>
      <w:r w:rsidR="005238FA">
        <w:t>17,89</w:t>
      </w:r>
      <w:r w:rsidR="000D00C6" w:rsidRPr="00B94434">
        <w:t xml:space="preserve">% ili za </w:t>
      </w:r>
      <w:r w:rsidR="002523EF">
        <w:t>457.281</w:t>
      </w:r>
      <w:r w:rsidR="004957FC" w:rsidRPr="00B94434">
        <w:t xml:space="preserve"> KM</w:t>
      </w:r>
      <w:r w:rsidR="00F85221" w:rsidRPr="00B94434">
        <w:t>)</w:t>
      </w:r>
      <w:r w:rsidR="00F02611" w:rsidRPr="00B94434">
        <w:t xml:space="preserve">, </w:t>
      </w:r>
    </w:p>
    <w:p w14:paraId="4AA33FB6" w14:textId="76A63095" w:rsidR="00B94434" w:rsidRDefault="00F02611" w:rsidP="00A40AAA">
      <w:pPr>
        <w:pStyle w:val="Odlomakpopisa"/>
        <w:numPr>
          <w:ilvl w:val="0"/>
          <w:numId w:val="7"/>
        </w:numPr>
        <w:jc w:val="both"/>
      </w:pPr>
      <w:r w:rsidRPr="00B94434">
        <w:t xml:space="preserve">izdaci za nabavku opreme (glavna grupa 821300) iznose </w:t>
      </w:r>
      <w:r w:rsidR="000D2A2D">
        <w:t>640.010</w:t>
      </w:r>
      <w:r w:rsidR="00445243" w:rsidRPr="00B94434">
        <w:t xml:space="preserve"> KM</w:t>
      </w:r>
      <w:r w:rsidR="009A4266" w:rsidRPr="00B94434">
        <w:t xml:space="preserve"> (</w:t>
      </w:r>
      <w:r w:rsidR="00CA415B" w:rsidRPr="00B94434">
        <w:t>povećanje</w:t>
      </w:r>
      <w:r w:rsidR="009A4266" w:rsidRPr="00B94434">
        <w:t xml:space="preserve"> za </w:t>
      </w:r>
      <w:r w:rsidR="000D2A2D">
        <w:t>6,00</w:t>
      </w:r>
      <w:r w:rsidR="009A4266" w:rsidRPr="00B94434">
        <w:t xml:space="preserve">% ili za </w:t>
      </w:r>
      <w:r w:rsidR="000D2A2D">
        <w:t>36.233</w:t>
      </w:r>
      <w:r w:rsidR="009A4266" w:rsidRPr="00B94434">
        <w:t xml:space="preserve"> KM)</w:t>
      </w:r>
      <w:r w:rsidR="00445243" w:rsidRPr="00B94434">
        <w:t xml:space="preserve">, </w:t>
      </w:r>
    </w:p>
    <w:p w14:paraId="0E5CE57C" w14:textId="0F99032E" w:rsidR="00B94434" w:rsidRDefault="00CB3695" w:rsidP="00A40AAA">
      <w:pPr>
        <w:pStyle w:val="Odlomakpopisa"/>
        <w:numPr>
          <w:ilvl w:val="0"/>
          <w:numId w:val="7"/>
        </w:numPr>
        <w:jc w:val="both"/>
      </w:pPr>
      <w:r w:rsidRPr="00B94434">
        <w:t xml:space="preserve">nabavka opreme za vatrogasnu postrojbu </w:t>
      </w:r>
      <w:r w:rsidR="00B94434" w:rsidRPr="00B94434">
        <w:t xml:space="preserve">iznosi </w:t>
      </w:r>
      <w:r w:rsidR="00C8683C">
        <w:t>74</w:t>
      </w:r>
      <w:r w:rsidR="00B94434" w:rsidRPr="00B94434">
        <w:t>.</w:t>
      </w:r>
      <w:r w:rsidR="00C8683C">
        <w:t>76</w:t>
      </w:r>
      <w:r w:rsidR="00B94434" w:rsidRPr="00B94434">
        <w:t>0 KM (</w:t>
      </w:r>
      <w:r w:rsidR="00C8683C">
        <w:t>smanjenje</w:t>
      </w:r>
      <w:r w:rsidR="00B94434" w:rsidRPr="00B94434">
        <w:t xml:space="preserve"> za </w:t>
      </w:r>
      <w:r w:rsidR="008C1B72">
        <w:t>145</w:t>
      </w:r>
      <w:r w:rsidR="00B94434" w:rsidRPr="00B94434">
        <w:t>.</w:t>
      </w:r>
      <w:r w:rsidR="008C1B72">
        <w:t>24</w:t>
      </w:r>
      <w:r w:rsidR="00B94434" w:rsidRPr="00B94434">
        <w:t xml:space="preserve">0 KM ili za </w:t>
      </w:r>
      <w:r w:rsidR="008C1B72">
        <w:t>66,02</w:t>
      </w:r>
      <w:r w:rsidR="00B94434" w:rsidRPr="00B94434">
        <w:t>%)</w:t>
      </w:r>
      <w:r w:rsidRPr="00B94434">
        <w:t xml:space="preserve">, </w:t>
      </w:r>
    </w:p>
    <w:p w14:paraId="2A249070" w14:textId="062A016D" w:rsidR="00CB3695" w:rsidRDefault="007C5CFD" w:rsidP="00A40AAA">
      <w:pPr>
        <w:pStyle w:val="Odlomakpopisa"/>
        <w:numPr>
          <w:ilvl w:val="0"/>
          <w:numId w:val="7"/>
        </w:numPr>
        <w:jc w:val="both"/>
      </w:pPr>
      <w:r w:rsidRPr="00B94434">
        <w:t>izdaci za nabavku stalnih sredstava u obliku prava (glavna grupa 821500)</w:t>
      </w:r>
      <w:r w:rsidR="00CB3695" w:rsidRPr="00B94434">
        <w:t xml:space="preserve"> </w:t>
      </w:r>
      <w:r w:rsidR="00A466E4" w:rsidRPr="00B94434">
        <w:t xml:space="preserve">iznose </w:t>
      </w:r>
      <w:r w:rsidR="0097179E">
        <w:t>45.000</w:t>
      </w:r>
      <w:r w:rsidR="00B94434">
        <w:t xml:space="preserve"> KM, </w:t>
      </w:r>
      <w:r w:rsidR="001477C4">
        <w:t xml:space="preserve">što je </w:t>
      </w:r>
      <w:r w:rsidR="0097179E">
        <w:t>smanjenje</w:t>
      </w:r>
      <w:r w:rsidR="001477C4">
        <w:t xml:space="preserve"> </w:t>
      </w:r>
      <w:r w:rsidR="003D60A3">
        <w:t xml:space="preserve">za </w:t>
      </w:r>
      <w:r w:rsidR="0028326F">
        <w:t>18,18</w:t>
      </w:r>
      <w:r w:rsidR="003D60A3">
        <w:t xml:space="preserve">% ili </w:t>
      </w:r>
      <w:r w:rsidR="0028326F">
        <w:t xml:space="preserve">smanjenje </w:t>
      </w:r>
      <w:r w:rsidR="003D60A3">
        <w:t xml:space="preserve">za </w:t>
      </w:r>
      <w:r w:rsidR="0028326F">
        <w:t>10</w:t>
      </w:r>
      <w:r w:rsidR="003D60A3">
        <w:t>.000 KM u odnosu na prvobitno planirano,</w:t>
      </w:r>
    </w:p>
    <w:p w14:paraId="2A249071" w14:textId="1FCDDFBD" w:rsidR="00593A7C" w:rsidRPr="003D60A3" w:rsidRDefault="003D60A3" w:rsidP="003D60A3">
      <w:pPr>
        <w:pStyle w:val="Odlomakpopisa"/>
        <w:numPr>
          <w:ilvl w:val="0"/>
          <w:numId w:val="7"/>
        </w:numPr>
        <w:jc w:val="both"/>
      </w:pPr>
      <w:r>
        <w:t>r</w:t>
      </w:r>
      <w:r w:rsidR="00445243" w:rsidRPr="003D60A3">
        <w:t xml:space="preserve">ekonstrukcija i investicijsko održavanje </w:t>
      </w:r>
      <w:r w:rsidR="000D00C6" w:rsidRPr="003D60A3">
        <w:t xml:space="preserve">lokalnih </w:t>
      </w:r>
      <w:r w:rsidR="00445243" w:rsidRPr="003D60A3">
        <w:t>cesta (glavna grupa 821</w:t>
      </w:r>
      <w:r w:rsidR="000D00C6" w:rsidRPr="003D60A3">
        <w:t>5</w:t>
      </w:r>
      <w:r w:rsidR="00445243" w:rsidRPr="003D60A3">
        <w:t xml:space="preserve">00) </w:t>
      </w:r>
      <w:r w:rsidR="009A4266" w:rsidRPr="003D60A3">
        <w:t>iznos</w:t>
      </w:r>
      <w:r w:rsidR="000D00C6" w:rsidRPr="003D60A3">
        <w:t>i</w:t>
      </w:r>
      <w:r w:rsidR="009A4266" w:rsidRPr="003D60A3">
        <w:t xml:space="preserve"> </w:t>
      </w:r>
      <w:r w:rsidR="00CB3695" w:rsidRPr="003D60A3">
        <w:t>1.</w:t>
      </w:r>
      <w:r w:rsidR="0028326F">
        <w:t>375</w:t>
      </w:r>
      <w:r w:rsidR="00BC616C" w:rsidRPr="003D60A3">
        <w:t>.000</w:t>
      </w:r>
      <w:r w:rsidR="00445243" w:rsidRPr="003D60A3">
        <w:t xml:space="preserve"> KM</w:t>
      </w:r>
      <w:r w:rsidR="009A4266" w:rsidRPr="003D60A3">
        <w:t xml:space="preserve"> (</w:t>
      </w:r>
      <w:r w:rsidR="00B94434" w:rsidRPr="003D60A3">
        <w:t>povećanje</w:t>
      </w:r>
      <w:r w:rsidR="000D00C6" w:rsidRPr="003D60A3">
        <w:t xml:space="preserve"> za </w:t>
      </w:r>
      <w:r w:rsidR="00B94434" w:rsidRPr="003D60A3">
        <w:t>2</w:t>
      </w:r>
      <w:r w:rsidR="0028326F">
        <w:t>5</w:t>
      </w:r>
      <w:r w:rsidR="00B94434" w:rsidRPr="003D60A3">
        <w:t>,00</w:t>
      </w:r>
      <w:r w:rsidR="000D00C6" w:rsidRPr="003D60A3">
        <w:t xml:space="preserve">% ili za </w:t>
      </w:r>
      <w:r w:rsidR="00B41034">
        <w:t>275.00</w:t>
      </w:r>
      <w:r w:rsidR="00923B5B" w:rsidRPr="003D60A3">
        <w:t>0</w:t>
      </w:r>
      <w:r w:rsidR="000D00C6" w:rsidRPr="003D60A3">
        <w:t xml:space="preserve"> KM</w:t>
      </w:r>
      <w:r w:rsidR="009A4266" w:rsidRPr="003D60A3">
        <w:t>)</w:t>
      </w:r>
      <w:r w:rsidR="00CB3695" w:rsidRPr="003D60A3">
        <w:t>, a r</w:t>
      </w:r>
      <w:r w:rsidR="000D00C6" w:rsidRPr="003D60A3">
        <w:t>ekonstrukcij</w:t>
      </w:r>
      <w:r w:rsidR="00CB3695" w:rsidRPr="003D60A3">
        <w:t xml:space="preserve">a i investicijsko </w:t>
      </w:r>
      <w:r w:rsidR="000D00C6" w:rsidRPr="003D60A3">
        <w:t>održavanj</w:t>
      </w:r>
      <w:r w:rsidR="00CB3695" w:rsidRPr="003D60A3">
        <w:t>e</w:t>
      </w:r>
      <w:r w:rsidR="000D00C6" w:rsidRPr="003D60A3">
        <w:t xml:space="preserve"> regionalnih cesta (glavna grupa 821600) </w:t>
      </w:r>
      <w:r w:rsidR="00923B5B" w:rsidRPr="003D60A3">
        <w:t xml:space="preserve">se </w:t>
      </w:r>
      <w:r w:rsidR="00B41034">
        <w:t>povećava</w:t>
      </w:r>
      <w:r w:rsidR="00923B5B" w:rsidRPr="003D60A3">
        <w:t xml:space="preserve"> za </w:t>
      </w:r>
      <w:r w:rsidR="007C28F4">
        <w:t>1.430</w:t>
      </w:r>
      <w:r w:rsidR="00923B5B" w:rsidRPr="003D60A3">
        <w:t xml:space="preserve">.000 KM i iznosi </w:t>
      </w:r>
      <w:r w:rsidR="007C28F4">
        <w:t>2.230</w:t>
      </w:r>
      <w:r w:rsidR="00923B5B" w:rsidRPr="003D60A3">
        <w:t>.000 KM.</w:t>
      </w:r>
    </w:p>
    <w:p w14:paraId="2A249072" w14:textId="051FF48C" w:rsidR="00593A7C" w:rsidRPr="00182EF9" w:rsidRDefault="00445243">
      <w:pPr>
        <w:ind w:firstLine="720"/>
        <w:jc w:val="both"/>
        <w:rPr>
          <w:lang w:val="hr-HR"/>
        </w:rPr>
      </w:pPr>
      <w:r w:rsidRPr="00182EF9">
        <w:rPr>
          <w:lang w:val="hr-HR"/>
        </w:rPr>
        <w:t>Planirana sredstva na poziciji nabavk</w:t>
      </w:r>
      <w:r w:rsidR="00AA47E9" w:rsidRPr="00182EF9">
        <w:rPr>
          <w:lang w:val="hr-HR"/>
        </w:rPr>
        <w:t>e</w:t>
      </w:r>
      <w:r w:rsidRPr="00182EF9">
        <w:rPr>
          <w:lang w:val="hr-HR"/>
        </w:rPr>
        <w:t xml:space="preserve"> </w:t>
      </w:r>
      <w:r w:rsidR="00AA47E9" w:rsidRPr="00182EF9">
        <w:rPr>
          <w:lang w:val="hr-HR"/>
        </w:rPr>
        <w:t>stalnih sredstava</w:t>
      </w:r>
      <w:r w:rsidRPr="00182EF9">
        <w:rPr>
          <w:lang w:val="hr-HR"/>
        </w:rPr>
        <w:t xml:space="preserve"> najvećim djelom se odnose na investicije koje su uvjetovane već realiziranim ili </w:t>
      </w:r>
      <w:r w:rsidR="00073137">
        <w:rPr>
          <w:lang w:val="hr-HR"/>
        </w:rPr>
        <w:t>ugovorenim</w:t>
      </w:r>
      <w:r w:rsidRPr="00182EF9">
        <w:rPr>
          <w:lang w:val="hr-HR"/>
        </w:rPr>
        <w:t xml:space="preserve"> </w:t>
      </w:r>
      <w:r w:rsidR="007C5CFD" w:rsidRPr="00182EF9">
        <w:rPr>
          <w:lang w:val="hr-HR"/>
        </w:rPr>
        <w:t>namjenskim potporama</w:t>
      </w:r>
      <w:r w:rsidR="00240BD7" w:rsidRPr="00182EF9">
        <w:rPr>
          <w:lang w:val="hr-HR"/>
        </w:rPr>
        <w:t>, donacijama</w:t>
      </w:r>
      <w:r w:rsidR="007C5CFD" w:rsidRPr="00182EF9">
        <w:rPr>
          <w:lang w:val="hr-HR"/>
        </w:rPr>
        <w:t xml:space="preserve"> i </w:t>
      </w:r>
      <w:r w:rsidRPr="00182EF9">
        <w:rPr>
          <w:lang w:val="hr-HR"/>
        </w:rPr>
        <w:t xml:space="preserve">primicima iz </w:t>
      </w:r>
      <w:r w:rsidR="007C5CFD" w:rsidRPr="00182EF9">
        <w:rPr>
          <w:lang w:val="hr-HR"/>
        </w:rPr>
        <w:t>inozemstva</w:t>
      </w:r>
      <w:r w:rsidR="00240BD7" w:rsidRPr="00182EF9">
        <w:rPr>
          <w:lang w:val="hr-HR"/>
        </w:rPr>
        <w:t xml:space="preserve"> </w:t>
      </w:r>
      <w:r w:rsidR="00CB3695" w:rsidRPr="00182EF9">
        <w:rPr>
          <w:lang w:val="hr-HR"/>
        </w:rPr>
        <w:t xml:space="preserve">ili od drugih razina vlasti, </w:t>
      </w:r>
      <w:r w:rsidR="007C5CFD" w:rsidRPr="00182EF9">
        <w:rPr>
          <w:lang w:val="hr-HR"/>
        </w:rPr>
        <w:t>kao i namjenskim poreznim i neporeznim prihodima</w:t>
      </w:r>
      <w:r w:rsidR="00240BD7" w:rsidRPr="00182EF9">
        <w:rPr>
          <w:lang w:val="hr-HR"/>
        </w:rPr>
        <w:t xml:space="preserve"> (</w:t>
      </w:r>
      <w:r w:rsidR="00114F77">
        <w:rPr>
          <w:lang w:val="hr-HR"/>
        </w:rPr>
        <w:t>5.586.725 KM</w:t>
      </w:r>
      <w:r w:rsidR="00240BD7" w:rsidRPr="00182EF9">
        <w:rPr>
          <w:lang w:val="hr-HR"/>
        </w:rPr>
        <w:t xml:space="preserve"> ili </w:t>
      </w:r>
      <w:r w:rsidR="00A3428D">
        <w:rPr>
          <w:lang w:val="hr-HR"/>
        </w:rPr>
        <w:t>75,72</w:t>
      </w:r>
      <w:r w:rsidR="00240BD7" w:rsidRPr="00182EF9">
        <w:rPr>
          <w:lang w:val="hr-HR"/>
        </w:rPr>
        <w:t>%)</w:t>
      </w:r>
      <w:r w:rsidRPr="00182EF9">
        <w:rPr>
          <w:lang w:val="hr-HR"/>
        </w:rPr>
        <w:t>, dok se ostatak izdataka za nabavku st</w:t>
      </w:r>
      <w:r w:rsidR="00DA129D" w:rsidRPr="00182EF9">
        <w:rPr>
          <w:lang w:val="hr-HR"/>
        </w:rPr>
        <w:t>alnih sredstava pokriva ili namjerava pokri</w:t>
      </w:r>
      <w:r w:rsidRPr="00182EF9">
        <w:rPr>
          <w:lang w:val="hr-HR"/>
        </w:rPr>
        <w:t xml:space="preserve">ti iz </w:t>
      </w:r>
      <w:r w:rsidR="00CB3695" w:rsidRPr="00182EF9">
        <w:rPr>
          <w:lang w:val="hr-HR"/>
        </w:rPr>
        <w:t>proračunskih sredstava</w:t>
      </w:r>
      <w:r w:rsidR="00240BD7" w:rsidRPr="00182EF9">
        <w:rPr>
          <w:lang w:val="hr-HR"/>
        </w:rPr>
        <w:t xml:space="preserve"> (</w:t>
      </w:r>
      <w:r w:rsidR="00A3428D">
        <w:rPr>
          <w:lang w:val="hr-HR"/>
        </w:rPr>
        <w:t>1.791.235</w:t>
      </w:r>
      <w:r w:rsidR="00CA415B" w:rsidRPr="00182EF9">
        <w:rPr>
          <w:lang w:val="hr-HR"/>
        </w:rPr>
        <w:t xml:space="preserve"> </w:t>
      </w:r>
      <w:r w:rsidR="00240BD7" w:rsidRPr="00182EF9">
        <w:rPr>
          <w:lang w:val="hr-HR"/>
        </w:rPr>
        <w:t xml:space="preserve">KM ili </w:t>
      </w:r>
      <w:r w:rsidR="00D339E9">
        <w:rPr>
          <w:lang w:val="hr-HR"/>
        </w:rPr>
        <w:t>24,28</w:t>
      </w:r>
      <w:r w:rsidR="00240BD7" w:rsidRPr="00182EF9">
        <w:rPr>
          <w:lang w:val="hr-HR"/>
        </w:rPr>
        <w:t>%)</w:t>
      </w:r>
      <w:r w:rsidRPr="00182EF9">
        <w:rPr>
          <w:lang w:val="hr-HR"/>
        </w:rPr>
        <w:t>.</w:t>
      </w:r>
    </w:p>
    <w:p w14:paraId="2A249073" w14:textId="77777777" w:rsidR="0074593B" w:rsidRPr="00182EF9" w:rsidRDefault="0074593B">
      <w:pPr>
        <w:ind w:firstLine="720"/>
        <w:jc w:val="both"/>
        <w:rPr>
          <w:lang w:val="hr-HR"/>
        </w:rPr>
      </w:pPr>
    </w:p>
    <w:p w14:paraId="2A249074" w14:textId="77777777" w:rsidR="00E649CA" w:rsidRPr="00182EF9" w:rsidRDefault="00E649CA">
      <w:pPr>
        <w:ind w:firstLine="720"/>
        <w:jc w:val="both"/>
        <w:rPr>
          <w:lang w:val="hr-HR"/>
        </w:rPr>
      </w:pPr>
    </w:p>
    <w:p w14:paraId="2A249075" w14:textId="77777777" w:rsidR="00593A7C" w:rsidRPr="00182EF9" w:rsidRDefault="000F7766" w:rsidP="000F7766">
      <w:pPr>
        <w:pStyle w:val="Naslov7"/>
        <w:spacing w:line="240" w:lineRule="auto"/>
      </w:pPr>
      <w:r w:rsidRPr="00182EF9">
        <w:t>5.3.</w:t>
      </w:r>
      <w:r w:rsidRPr="00182EF9">
        <w:tab/>
      </w:r>
      <w:r w:rsidR="00445243" w:rsidRPr="00182EF9">
        <w:t xml:space="preserve">IZDACI ZA </w:t>
      </w:r>
      <w:r w:rsidR="002009FB" w:rsidRPr="00182EF9">
        <w:t xml:space="preserve">NABAVKU FINANCIJSKE IMOVINE I </w:t>
      </w:r>
      <w:r w:rsidR="00445243" w:rsidRPr="00182EF9">
        <w:t>OTPLATE DUGOVA</w:t>
      </w:r>
    </w:p>
    <w:p w14:paraId="2A249076" w14:textId="77777777" w:rsidR="00593A7C" w:rsidRPr="00182EF9" w:rsidRDefault="00593A7C">
      <w:pPr>
        <w:ind w:left="720"/>
        <w:rPr>
          <w:lang w:val="hr-HR"/>
        </w:rPr>
      </w:pPr>
    </w:p>
    <w:p w14:paraId="2A249077" w14:textId="1F390169" w:rsidR="00593A7C" w:rsidRPr="00182EF9" w:rsidRDefault="00445243" w:rsidP="00DA129D">
      <w:pPr>
        <w:pStyle w:val="Tijeloteksta"/>
        <w:ind w:firstLine="720"/>
      </w:pPr>
      <w:r w:rsidRPr="00182EF9">
        <w:t xml:space="preserve">Izdaci za otplate dugova (potkategorija 823000) planirani su u iznosu od </w:t>
      </w:r>
      <w:r w:rsidR="00D339E9">
        <w:t>510.020</w:t>
      </w:r>
      <w:r w:rsidRPr="00182EF9">
        <w:t xml:space="preserve"> KM i </w:t>
      </w:r>
      <w:r w:rsidR="00A466E4" w:rsidRPr="00182EF9">
        <w:t>manji su od prethodno planiranih (uslijed kretanja tečaja korejski won-konvertibilna marka)</w:t>
      </w:r>
      <w:r w:rsidR="00F10747" w:rsidRPr="00182EF9">
        <w:t xml:space="preserve"> </w:t>
      </w:r>
      <w:r w:rsidR="00A466E4" w:rsidRPr="00182EF9">
        <w:t xml:space="preserve">za </w:t>
      </w:r>
      <w:r w:rsidR="001C06E1">
        <w:t>1,71</w:t>
      </w:r>
      <w:r w:rsidR="00A466E4" w:rsidRPr="00182EF9">
        <w:t xml:space="preserve">% ili za </w:t>
      </w:r>
      <w:r w:rsidR="001C06E1">
        <w:t>8.850</w:t>
      </w:r>
      <w:r w:rsidR="00A466E4" w:rsidRPr="00182EF9">
        <w:t xml:space="preserve"> KM</w:t>
      </w:r>
      <w:r w:rsidR="002009FB" w:rsidRPr="00182EF9">
        <w:t xml:space="preserve">, te se </w:t>
      </w:r>
      <w:r w:rsidRPr="00182EF9">
        <w:t xml:space="preserve">odnose na </w:t>
      </w:r>
      <w:r w:rsidR="0074593B" w:rsidRPr="00182EF9">
        <w:t xml:space="preserve">vanjske </w:t>
      </w:r>
      <w:r w:rsidRPr="00182EF9">
        <w:t>otplate glavnic</w:t>
      </w:r>
      <w:r w:rsidR="0074593B" w:rsidRPr="00182EF9">
        <w:t>a</w:t>
      </w:r>
      <w:r w:rsidRPr="00182EF9">
        <w:t>:</w:t>
      </w:r>
    </w:p>
    <w:p w14:paraId="2A249078" w14:textId="7778666F" w:rsidR="00DA129D" w:rsidRPr="00182EF9" w:rsidRDefault="00DA129D" w:rsidP="00A40AAA">
      <w:pPr>
        <w:pStyle w:val="Tijeloteksta"/>
        <w:numPr>
          <w:ilvl w:val="0"/>
          <w:numId w:val="4"/>
        </w:numPr>
      </w:pPr>
      <w:r w:rsidRPr="00182EF9">
        <w:t xml:space="preserve">kredita Export-Import banke Koreja za financiranje Faze II Projekta „Modernizacija bolnica u Bosni i Hercegovini“ u iznosu od </w:t>
      </w:r>
      <w:r w:rsidR="001C06E1">
        <w:t>79.730</w:t>
      </w:r>
      <w:r w:rsidR="002821F1">
        <w:t>0</w:t>
      </w:r>
      <w:r w:rsidRPr="00182EF9">
        <w:t xml:space="preserve"> KM, i</w:t>
      </w:r>
    </w:p>
    <w:p w14:paraId="2A249079" w14:textId="77777777" w:rsidR="00DA129D" w:rsidRPr="00182EF9" w:rsidRDefault="00DA129D" w:rsidP="00A40AAA">
      <w:pPr>
        <w:pStyle w:val="Tijeloteksta"/>
        <w:numPr>
          <w:ilvl w:val="0"/>
          <w:numId w:val="4"/>
        </w:numPr>
      </w:pPr>
      <w:r w:rsidRPr="00182EF9">
        <w:t>kredita UniCredit bank Austria AG za financiranje projekta nabave, instalacije, obuke i održavanja medicinske i nemedicinske opreme i usluga u Županijskoj bolnici Orašje u iznosu od 430.290 KM.</w:t>
      </w:r>
    </w:p>
    <w:p w14:paraId="2A24907C" w14:textId="77777777" w:rsidR="00593A7C" w:rsidRPr="00182EF9" w:rsidRDefault="00593A7C">
      <w:pPr>
        <w:pStyle w:val="Uvuenotijeloteksta"/>
        <w:spacing w:line="240" w:lineRule="auto"/>
      </w:pPr>
    </w:p>
    <w:p w14:paraId="2A24907D" w14:textId="2F217366" w:rsidR="00593A7C" w:rsidRPr="00182EF9" w:rsidRDefault="00445243">
      <w:pPr>
        <w:pStyle w:val="Naslov3"/>
        <w:ind w:firstLine="720"/>
        <w:jc w:val="both"/>
      </w:pPr>
      <w:r w:rsidRPr="00182EF9">
        <w:t xml:space="preserve">Orašje, </w:t>
      </w:r>
      <w:r w:rsidR="00311819" w:rsidRPr="00182EF9">
        <w:t>studeni</w:t>
      </w:r>
      <w:r w:rsidR="005B576A" w:rsidRPr="00182EF9">
        <w:t xml:space="preserve"> </w:t>
      </w:r>
      <w:r w:rsidR="001C06E1">
        <w:t>2024</w:t>
      </w:r>
      <w:r w:rsidRPr="00182EF9">
        <w:t>. godine</w:t>
      </w:r>
    </w:p>
    <w:p w14:paraId="2A24907F" w14:textId="77777777" w:rsidR="00593A7C" w:rsidRPr="00182EF9" w:rsidRDefault="00445243">
      <w:pPr>
        <w:pStyle w:val="Naslov1"/>
        <w:jc w:val="both"/>
      </w:pPr>
      <w:r w:rsidRPr="00182EF9">
        <w:t xml:space="preserve">                                                                                                       </w:t>
      </w:r>
      <w:r w:rsidR="00AA47E9" w:rsidRPr="00182EF9">
        <w:t xml:space="preserve">  </w:t>
      </w:r>
      <w:r w:rsidR="00B87F8F" w:rsidRPr="00182EF9">
        <w:t xml:space="preserve"> </w:t>
      </w:r>
      <w:r w:rsidR="00867B39" w:rsidRPr="00182EF9">
        <w:t xml:space="preserve">        </w:t>
      </w:r>
      <w:r w:rsidRPr="00182EF9">
        <w:t>V L A D A</w:t>
      </w:r>
    </w:p>
    <w:p w14:paraId="1953311C" w14:textId="40C8AC56" w:rsidR="00BC2F2D" w:rsidRDefault="00445243" w:rsidP="009214B1">
      <w:pPr>
        <w:pStyle w:val="Naslov4"/>
        <w:ind w:left="5760"/>
        <w:jc w:val="both"/>
        <w:rPr>
          <w:b w:val="0"/>
          <w:bCs w:val="0"/>
        </w:rPr>
        <w:sectPr w:rsidR="00BC2F2D" w:rsidSect="009214B1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417" w:right="1106" w:bottom="899" w:left="1417" w:header="708" w:footer="708" w:gutter="0"/>
          <w:cols w:space="708"/>
          <w:titlePg/>
          <w:docGrid w:linePitch="360"/>
        </w:sectPr>
      </w:pPr>
      <w:r w:rsidRPr="00182EF9">
        <w:t xml:space="preserve"> </w:t>
      </w:r>
      <w:r w:rsidR="00557C45" w:rsidRPr="00182EF9">
        <w:tab/>
      </w:r>
      <w:r w:rsidRPr="00182EF9">
        <w:t>Županije Posavsk</w:t>
      </w:r>
      <w:r w:rsidR="009214B1">
        <w:t>e</w:t>
      </w:r>
    </w:p>
    <w:p w14:paraId="2A249082" w14:textId="77777777" w:rsidR="00445243" w:rsidRPr="00182EF9" w:rsidRDefault="00445243" w:rsidP="009214B1">
      <w:pPr>
        <w:rPr>
          <w:lang w:val="hr-HR"/>
        </w:rPr>
      </w:pPr>
    </w:p>
    <w:sectPr w:rsidR="00445243" w:rsidRPr="00182EF9" w:rsidSect="009214B1">
      <w:type w:val="continuous"/>
      <w:pgSz w:w="11906" w:h="16838"/>
      <w:pgMar w:top="1417" w:right="110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F2EFC" w14:textId="77777777" w:rsidR="0031525B" w:rsidRDefault="0031525B">
      <w:r>
        <w:separator/>
      </w:r>
    </w:p>
  </w:endnote>
  <w:endnote w:type="continuationSeparator" w:id="0">
    <w:p w14:paraId="595B2AD4" w14:textId="77777777" w:rsidR="0031525B" w:rsidRDefault="0031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9090" w14:textId="77777777" w:rsidR="00691888" w:rsidRDefault="0079343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691888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A249091" w14:textId="77777777" w:rsidR="00691888" w:rsidRDefault="00691888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9092" w14:textId="77777777" w:rsidR="00691888" w:rsidRDefault="00691888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5CE95" w14:textId="77777777" w:rsidR="0031525B" w:rsidRDefault="0031525B">
      <w:r>
        <w:separator/>
      </w:r>
    </w:p>
  </w:footnote>
  <w:footnote w:type="continuationSeparator" w:id="0">
    <w:p w14:paraId="443D11AD" w14:textId="77777777" w:rsidR="0031525B" w:rsidRDefault="0031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9089" w14:textId="77777777" w:rsidR="00691888" w:rsidRDefault="0079343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691888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A24908A" w14:textId="77777777" w:rsidR="00691888" w:rsidRDefault="00691888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908B" w14:textId="77777777" w:rsidR="00691888" w:rsidRDefault="0079343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691888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50DC4">
      <w:rPr>
        <w:rStyle w:val="Brojstranice"/>
        <w:noProof/>
      </w:rPr>
      <w:t>2</w:t>
    </w:r>
    <w:r>
      <w:rPr>
        <w:rStyle w:val="Brojstranice"/>
      </w:rPr>
      <w:fldChar w:fldCharType="end"/>
    </w:r>
  </w:p>
  <w:tbl>
    <w:tblPr>
      <w:tblW w:w="0" w:type="auto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025"/>
      <w:gridCol w:w="1358"/>
    </w:tblGrid>
    <w:tr w:rsidR="00691888" w14:paraId="2A24908E" w14:textId="77777777">
      <w:tc>
        <w:tcPr>
          <w:tcW w:w="8208" w:type="dxa"/>
        </w:tcPr>
        <w:p w14:paraId="2A24908C" w14:textId="63EC62CE" w:rsidR="00691888" w:rsidRDefault="00691888" w:rsidP="001D493A">
          <w:pPr>
            <w:pStyle w:val="Zaglavlje"/>
            <w:ind w:right="360"/>
            <w:rPr>
              <w:b/>
              <w:bCs/>
              <w:i/>
              <w:iCs/>
              <w:sz w:val="22"/>
            </w:rPr>
          </w:pPr>
          <w:r>
            <w:rPr>
              <w:b/>
              <w:bCs/>
              <w:i/>
              <w:iCs/>
              <w:sz w:val="22"/>
            </w:rPr>
            <w:t>Obrazloženje Izmjena i dopuna Proračuna Županije Posavske za 202</w:t>
          </w:r>
          <w:r w:rsidR="00C8313D">
            <w:rPr>
              <w:b/>
              <w:bCs/>
              <w:i/>
              <w:iCs/>
              <w:sz w:val="22"/>
            </w:rPr>
            <w:t>4</w:t>
          </w:r>
          <w:r>
            <w:rPr>
              <w:b/>
              <w:bCs/>
              <w:i/>
              <w:iCs/>
              <w:sz w:val="22"/>
            </w:rPr>
            <w:t>. godinu</w:t>
          </w:r>
        </w:p>
      </w:tc>
      <w:tc>
        <w:tcPr>
          <w:tcW w:w="1391" w:type="dxa"/>
          <w:tcBorders>
            <w:bottom w:val="single" w:sz="4" w:space="0" w:color="auto"/>
          </w:tcBorders>
        </w:tcPr>
        <w:p w14:paraId="2A24908D" w14:textId="77777777" w:rsidR="00691888" w:rsidRDefault="00691888">
          <w:pPr>
            <w:pStyle w:val="Zaglavlje"/>
            <w:ind w:right="360"/>
          </w:pPr>
        </w:p>
      </w:tc>
    </w:tr>
  </w:tbl>
  <w:p w14:paraId="2A24908F" w14:textId="77777777" w:rsidR="00691888" w:rsidRDefault="00691888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158E"/>
    <w:multiLevelType w:val="hybridMultilevel"/>
    <w:tmpl w:val="34284BC6"/>
    <w:lvl w:ilvl="0" w:tplc="150232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2917"/>
    <w:multiLevelType w:val="hybridMultilevel"/>
    <w:tmpl w:val="752210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82106"/>
    <w:multiLevelType w:val="hybridMultilevel"/>
    <w:tmpl w:val="B0426F1E"/>
    <w:lvl w:ilvl="0" w:tplc="E3D620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72118"/>
    <w:multiLevelType w:val="hybridMultilevel"/>
    <w:tmpl w:val="8B548C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10D11"/>
    <w:multiLevelType w:val="hybridMultilevel"/>
    <w:tmpl w:val="921CA86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FE4B0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65662"/>
    <w:multiLevelType w:val="hybridMultilevel"/>
    <w:tmpl w:val="66263010"/>
    <w:lvl w:ilvl="0" w:tplc="EFE4B0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8097798"/>
    <w:multiLevelType w:val="hybridMultilevel"/>
    <w:tmpl w:val="2D848C6E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EFE4B0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9A07030"/>
    <w:multiLevelType w:val="hybridMultilevel"/>
    <w:tmpl w:val="4A309FE0"/>
    <w:lvl w:ilvl="0" w:tplc="E3D620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C3EFC"/>
    <w:multiLevelType w:val="hybridMultilevel"/>
    <w:tmpl w:val="2D5EF9D6"/>
    <w:lvl w:ilvl="0" w:tplc="22E2C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88063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427B6"/>
    <w:multiLevelType w:val="hybridMultilevel"/>
    <w:tmpl w:val="BD70FEE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25A6F"/>
    <w:multiLevelType w:val="hybridMultilevel"/>
    <w:tmpl w:val="D5385380"/>
    <w:lvl w:ilvl="0" w:tplc="D6D671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134B3"/>
    <w:multiLevelType w:val="hybridMultilevel"/>
    <w:tmpl w:val="2E3E59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07D9D"/>
    <w:multiLevelType w:val="multilevel"/>
    <w:tmpl w:val="A902323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F8348D5"/>
    <w:multiLevelType w:val="hybridMultilevel"/>
    <w:tmpl w:val="E51E306A"/>
    <w:lvl w:ilvl="0" w:tplc="ED56BB4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400EC"/>
    <w:multiLevelType w:val="hybridMultilevel"/>
    <w:tmpl w:val="A702A7CE"/>
    <w:lvl w:ilvl="0" w:tplc="E3D620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E1034"/>
    <w:multiLevelType w:val="hybridMultilevel"/>
    <w:tmpl w:val="07D00F20"/>
    <w:lvl w:ilvl="0" w:tplc="150232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839403">
    <w:abstractNumId w:val="2"/>
  </w:num>
  <w:num w:numId="2" w16cid:durableId="932473702">
    <w:abstractNumId w:val="13"/>
  </w:num>
  <w:num w:numId="3" w16cid:durableId="555363410">
    <w:abstractNumId w:val="12"/>
  </w:num>
  <w:num w:numId="4" w16cid:durableId="1968731777">
    <w:abstractNumId w:val="15"/>
  </w:num>
  <w:num w:numId="5" w16cid:durableId="423914573">
    <w:abstractNumId w:val="7"/>
  </w:num>
  <w:num w:numId="6" w16cid:durableId="259218321">
    <w:abstractNumId w:val="14"/>
  </w:num>
  <w:num w:numId="7" w16cid:durableId="1016079033">
    <w:abstractNumId w:val="8"/>
  </w:num>
  <w:num w:numId="8" w16cid:durableId="460465440">
    <w:abstractNumId w:val="10"/>
  </w:num>
  <w:num w:numId="9" w16cid:durableId="1799227645">
    <w:abstractNumId w:val="0"/>
  </w:num>
  <w:num w:numId="10" w16cid:durableId="1179001753">
    <w:abstractNumId w:val="11"/>
  </w:num>
  <w:num w:numId="11" w16cid:durableId="92602642">
    <w:abstractNumId w:val="4"/>
  </w:num>
  <w:num w:numId="12" w16cid:durableId="241454943">
    <w:abstractNumId w:val="5"/>
  </w:num>
  <w:num w:numId="13" w16cid:durableId="1107774732">
    <w:abstractNumId w:val="6"/>
  </w:num>
  <w:num w:numId="14" w16cid:durableId="649093077">
    <w:abstractNumId w:val="3"/>
  </w:num>
  <w:num w:numId="15" w16cid:durableId="440806254">
    <w:abstractNumId w:val="9"/>
  </w:num>
  <w:num w:numId="16" w16cid:durableId="212704281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769"/>
    <w:rsid w:val="00003E8A"/>
    <w:rsid w:val="00004FF2"/>
    <w:rsid w:val="0000788C"/>
    <w:rsid w:val="000205A7"/>
    <w:rsid w:val="00023501"/>
    <w:rsid w:val="00024577"/>
    <w:rsid w:val="00026596"/>
    <w:rsid w:val="00031DB7"/>
    <w:rsid w:val="0003432E"/>
    <w:rsid w:val="000360E9"/>
    <w:rsid w:val="00040703"/>
    <w:rsid w:val="000428C9"/>
    <w:rsid w:val="00044E7A"/>
    <w:rsid w:val="00045701"/>
    <w:rsid w:val="0004613F"/>
    <w:rsid w:val="00046AFD"/>
    <w:rsid w:val="00052C49"/>
    <w:rsid w:val="00054798"/>
    <w:rsid w:val="0005625A"/>
    <w:rsid w:val="000564CA"/>
    <w:rsid w:val="000568A3"/>
    <w:rsid w:val="00057AEC"/>
    <w:rsid w:val="00057C0A"/>
    <w:rsid w:val="00060856"/>
    <w:rsid w:val="00062075"/>
    <w:rsid w:val="0006241B"/>
    <w:rsid w:val="00062F42"/>
    <w:rsid w:val="000632AE"/>
    <w:rsid w:val="000636F8"/>
    <w:rsid w:val="000658D5"/>
    <w:rsid w:val="00065B3E"/>
    <w:rsid w:val="000674E0"/>
    <w:rsid w:val="00073137"/>
    <w:rsid w:val="00074737"/>
    <w:rsid w:val="000831D5"/>
    <w:rsid w:val="0008395F"/>
    <w:rsid w:val="00084EDA"/>
    <w:rsid w:val="000867BC"/>
    <w:rsid w:val="00087C43"/>
    <w:rsid w:val="00090494"/>
    <w:rsid w:val="000923CE"/>
    <w:rsid w:val="00093B0B"/>
    <w:rsid w:val="00094861"/>
    <w:rsid w:val="0009508C"/>
    <w:rsid w:val="00095133"/>
    <w:rsid w:val="000A06D2"/>
    <w:rsid w:val="000A6B19"/>
    <w:rsid w:val="000A7C56"/>
    <w:rsid w:val="000A7CF3"/>
    <w:rsid w:val="000B0BEA"/>
    <w:rsid w:val="000B6B46"/>
    <w:rsid w:val="000C1138"/>
    <w:rsid w:val="000C521C"/>
    <w:rsid w:val="000C5993"/>
    <w:rsid w:val="000C7A40"/>
    <w:rsid w:val="000C7E7E"/>
    <w:rsid w:val="000D00C6"/>
    <w:rsid w:val="000D143A"/>
    <w:rsid w:val="000D1C2F"/>
    <w:rsid w:val="000D2A2D"/>
    <w:rsid w:val="000E012F"/>
    <w:rsid w:val="000E0CA4"/>
    <w:rsid w:val="000E3C1C"/>
    <w:rsid w:val="000E521E"/>
    <w:rsid w:val="000E6720"/>
    <w:rsid w:val="000E6C52"/>
    <w:rsid w:val="000F05C9"/>
    <w:rsid w:val="000F3811"/>
    <w:rsid w:val="000F740C"/>
    <w:rsid w:val="000F7766"/>
    <w:rsid w:val="001003BD"/>
    <w:rsid w:val="00102063"/>
    <w:rsid w:val="00105E91"/>
    <w:rsid w:val="00111525"/>
    <w:rsid w:val="00113EB2"/>
    <w:rsid w:val="0011423A"/>
    <w:rsid w:val="00114F77"/>
    <w:rsid w:val="0011559F"/>
    <w:rsid w:val="001176A2"/>
    <w:rsid w:val="00121914"/>
    <w:rsid w:val="00123A90"/>
    <w:rsid w:val="00126084"/>
    <w:rsid w:val="00126F87"/>
    <w:rsid w:val="001413F2"/>
    <w:rsid w:val="00142562"/>
    <w:rsid w:val="001477C4"/>
    <w:rsid w:val="001531C3"/>
    <w:rsid w:val="00153322"/>
    <w:rsid w:val="00155BAD"/>
    <w:rsid w:val="00163DD5"/>
    <w:rsid w:val="00166016"/>
    <w:rsid w:val="00170988"/>
    <w:rsid w:val="0018034E"/>
    <w:rsid w:val="00180DC1"/>
    <w:rsid w:val="0018163B"/>
    <w:rsid w:val="00182EF9"/>
    <w:rsid w:val="0018338D"/>
    <w:rsid w:val="00184157"/>
    <w:rsid w:val="00185B27"/>
    <w:rsid w:val="00185E12"/>
    <w:rsid w:val="00186969"/>
    <w:rsid w:val="001871CF"/>
    <w:rsid w:val="00187FF0"/>
    <w:rsid w:val="00192E2D"/>
    <w:rsid w:val="001947D0"/>
    <w:rsid w:val="00196EAA"/>
    <w:rsid w:val="00197472"/>
    <w:rsid w:val="001A0983"/>
    <w:rsid w:val="001A2F3D"/>
    <w:rsid w:val="001A3291"/>
    <w:rsid w:val="001A3C89"/>
    <w:rsid w:val="001A4E10"/>
    <w:rsid w:val="001A591C"/>
    <w:rsid w:val="001A663B"/>
    <w:rsid w:val="001A69B3"/>
    <w:rsid w:val="001A747C"/>
    <w:rsid w:val="001B4A39"/>
    <w:rsid w:val="001B6728"/>
    <w:rsid w:val="001B6A8D"/>
    <w:rsid w:val="001C06E1"/>
    <w:rsid w:val="001C53C6"/>
    <w:rsid w:val="001C6D88"/>
    <w:rsid w:val="001D04CF"/>
    <w:rsid w:val="001D0858"/>
    <w:rsid w:val="001D257D"/>
    <w:rsid w:val="001D3032"/>
    <w:rsid w:val="001D34EF"/>
    <w:rsid w:val="001D4335"/>
    <w:rsid w:val="001D438D"/>
    <w:rsid w:val="001D493A"/>
    <w:rsid w:val="001D60BF"/>
    <w:rsid w:val="001D66E0"/>
    <w:rsid w:val="001D7FF5"/>
    <w:rsid w:val="001E1350"/>
    <w:rsid w:val="001E2BBE"/>
    <w:rsid w:val="001E49B4"/>
    <w:rsid w:val="001F2310"/>
    <w:rsid w:val="001F2D37"/>
    <w:rsid w:val="001F3CB7"/>
    <w:rsid w:val="001F5E62"/>
    <w:rsid w:val="001F6B6B"/>
    <w:rsid w:val="001F75B9"/>
    <w:rsid w:val="00200848"/>
    <w:rsid w:val="002009FB"/>
    <w:rsid w:val="00210730"/>
    <w:rsid w:val="00223BB5"/>
    <w:rsid w:val="00223F85"/>
    <w:rsid w:val="002250E9"/>
    <w:rsid w:val="00227154"/>
    <w:rsid w:val="0023420F"/>
    <w:rsid w:val="00234DC2"/>
    <w:rsid w:val="00237E5D"/>
    <w:rsid w:val="00240BD7"/>
    <w:rsid w:val="002439BB"/>
    <w:rsid w:val="00245405"/>
    <w:rsid w:val="00245849"/>
    <w:rsid w:val="0024584F"/>
    <w:rsid w:val="002458A4"/>
    <w:rsid w:val="00250512"/>
    <w:rsid w:val="00250DC4"/>
    <w:rsid w:val="002523EF"/>
    <w:rsid w:val="00252A4E"/>
    <w:rsid w:val="00254779"/>
    <w:rsid w:val="002647BF"/>
    <w:rsid w:val="00265E5F"/>
    <w:rsid w:val="00270856"/>
    <w:rsid w:val="002708F2"/>
    <w:rsid w:val="002722A1"/>
    <w:rsid w:val="0027478A"/>
    <w:rsid w:val="00276279"/>
    <w:rsid w:val="002762F0"/>
    <w:rsid w:val="00276683"/>
    <w:rsid w:val="00276D34"/>
    <w:rsid w:val="00277C24"/>
    <w:rsid w:val="00280783"/>
    <w:rsid w:val="002821F1"/>
    <w:rsid w:val="0028326F"/>
    <w:rsid w:val="00286227"/>
    <w:rsid w:val="00286D25"/>
    <w:rsid w:val="00290954"/>
    <w:rsid w:val="00291605"/>
    <w:rsid w:val="0029177E"/>
    <w:rsid w:val="00294BD8"/>
    <w:rsid w:val="00294DB6"/>
    <w:rsid w:val="002A281F"/>
    <w:rsid w:val="002A4551"/>
    <w:rsid w:val="002A586C"/>
    <w:rsid w:val="002A60EA"/>
    <w:rsid w:val="002A6B6D"/>
    <w:rsid w:val="002B058B"/>
    <w:rsid w:val="002B11C4"/>
    <w:rsid w:val="002B55C5"/>
    <w:rsid w:val="002B6462"/>
    <w:rsid w:val="002C0370"/>
    <w:rsid w:val="002C25DB"/>
    <w:rsid w:val="002C27C8"/>
    <w:rsid w:val="002C367F"/>
    <w:rsid w:val="002C3B35"/>
    <w:rsid w:val="002C4B7E"/>
    <w:rsid w:val="002C7B5B"/>
    <w:rsid w:val="002D360B"/>
    <w:rsid w:val="002D65DB"/>
    <w:rsid w:val="002D76B4"/>
    <w:rsid w:val="002E0EA8"/>
    <w:rsid w:val="002E34F1"/>
    <w:rsid w:val="002E3893"/>
    <w:rsid w:val="002E476A"/>
    <w:rsid w:val="002E70E4"/>
    <w:rsid w:val="002E7882"/>
    <w:rsid w:val="002F232C"/>
    <w:rsid w:val="002F31FD"/>
    <w:rsid w:val="002F40A2"/>
    <w:rsid w:val="002F5F4C"/>
    <w:rsid w:val="002F615C"/>
    <w:rsid w:val="002F7408"/>
    <w:rsid w:val="002F7860"/>
    <w:rsid w:val="002F7C6F"/>
    <w:rsid w:val="00300467"/>
    <w:rsid w:val="00303F37"/>
    <w:rsid w:val="00307EC5"/>
    <w:rsid w:val="00311819"/>
    <w:rsid w:val="003128BD"/>
    <w:rsid w:val="00314A2F"/>
    <w:rsid w:val="0031525B"/>
    <w:rsid w:val="00317288"/>
    <w:rsid w:val="00320169"/>
    <w:rsid w:val="00321A16"/>
    <w:rsid w:val="00321CC0"/>
    <w:rsid w:val="00322AE1"/>
    <w:rsid w:val="003245E3"/>
    <w:rsid w:val="0032477F"/>
    <w:rsid w:val="003253EE"/>
    <w:rsid w:val="0032784A"/>
    <w:rsid w:val="00332128"/>
    <w:rsid w:val="00333552"/>
    <w:rsid w:val="003344BA"/>
    <w:rsid w:val="003366E8"/>
    <w:rsid w:val="00337CFB"/>
    <w:rsid w:val="0034066F"/>
    <w:rsid w:val="00340E8B"/>
    <w:rsid w:val="00340EEE"/>
    <w:rsid w:val="003471A6"/>
    <w:rsid w:val="003528F2"/>
    <w:rsid w:val="003553A3"/>
    <w:rsid w:val="003604BD"/>
    <w:rsid w:val="00361770"/>
    <w:rsid w:val="00361999"/>
    <w:rsid w:val="003643A9"/>
    <w:rsid w:val="00365174"/>
    <w:rsid w:val="00366300"/>
    <w:rsid w:val="00373F14"/>
    <w:rsid w:val="00375E0D"/>
    <w:rsid w:val="00376F57"/>
    <w:rsid w:val="00381395"/>
    <w:rsid w:val="003830B4"/>
    <w:rsid w:val="003832A7"/>
    <w:rsid w:val="00383451"/>
    <w:rsid w:val="00385A57"/>
    <w:rsid w:val="00391BB0"/>
    <w:rsid w:val="00392561"/>
    <w:rsid w:val="00392F29"/>
    <w:rsid w:val="003932B3"/>
    <w:rsid w:val="00393398"/>
    <w:rsid w:val="0039405A"/>
    <w:rsid w:val="00396EA7"/>
    <w:rsid w:val="003A059D"/>
    <w:rsid w:val="003A43B8"/>
    <w:rsid w:val="003A43CD"/>
    <w:rsid w:val="003A6475"/>
    <w:rsid w:val="003A6AAB"/>
    <w:rsid w:val="003A7B18"/>
    <w:rsid w:val="003B0906"/>
    <w:rsid w:val="003B263C"/>
    <w:rsid w:val="003B4080"/>
    <w:rsid w:val="003B4751"/>
    <w:rsid w:val="003B6028"/>
    <w:rsid w:val="003B695F"/>
    <w:rsid w:val="003C2B98"/>
    <w:rsid w:val="003C4796"/>
    <w:rsid w:val="003C7567"/>
    <w:rsid w:val="003D3571"/>
    <w:rsid w:val="003D60A3"/>
    <w:rsid w:val="003F042E"/>
    <w:rsid w:val="003F42A6"/>
    <w:rsid w:val="003F629E"/>
    <w:rsid w:val="003F6A0D"/>
    <w:rsid w:val="003F6D88"/>
    <w:rsid w:val="003F6FA3"/>
    <w:rsid w:val="004040D1"/>
    <w:rsid w:val="004070FC"/>
    <w:rsid w:val="00407388"/>
    <w:rsid w:val="00410431"/>
    <w:rsid w:val="00412473"/>
    <w:rsid w:val="00417436"/>
    <w:rsid w:val="004176C3"/>
    <w:rsid w:val="00417ED5"/>
    <w:rsid w:val="00420C8F"/>
    <w:rsid w:val="00421E74"/>
    <w:rsid w:val="00422705"/>
    <w:rsid w:val="00433339"/>
    <w:rsid w:val="00434C36"/>
    <w:rsid w:val="0043542D"/>
    <w:rsid w:val="00435C8A"/>
    <w:rsid w:val="00436E67"/>
    <w:rsid w:val="00437606"/>
    <w:rsid w:val="00437A0D"/>
    <w:rsid w:val="004416DA"/>
    <w:rsid w:val="0044252A"/>
    <w:rsid w:val="00442CAD"/>
    <w:rsid w:val="00442D2F"/>
    <w:rsid w:val="00443455"/>
    <w:rsid w:val="00445243"/>
    <w:rsid w:val="00454020"/>
    <w:rsid w:val="00455D90"/>
    <w:rsid w:val="0045646E"/>
    <w:rsid w:val="00460185"/>
    <w:rsid w:val="0046088D"/>
    <w:rsid w:val="00462366"/>
    <w:rsid w:val="00475206"/>
    <w:rsid w:val="004764A3"/>
    <w:rsid w:val="00477AB1"/>
    <w:rsid w:val="00477F18"/>
    <w:rsid w:val="00480766"/>
    <w:rsid w:val="004809EE"/>
    <w:rsid w:val="00481A0B"/>
    <w:rsid w:val="00482962"/>
    <w:rsid w:val="0048325A"/>
    <w:rsid w:val="004842F3"/>
    <w:rsid w:val="00485159"/>
    <w:rsid w:val="00485A09"/>
    <w:rsid w:val="004879E9"/>
    <w:rsid w:val="00490871"/>
    <w:rsid w:val="00492858"/>
    <w:rsid w:val="004957FC"/>
    <w:rsid w:val="004979FE"/>
    <w:rsid w:val="00497DA7"/>
    <w:rsid w:val="004A2C00"/>
    <w:rsid w:val="004A3092"/>
    <w:rsid w:val="004A36F3"/>
    <w:rsid w:val="004A3DE5"/>
    <w:rsid w:val="004A61F6"/>
    <w:rsid w:val="004B0356"/>
    <w:rsid w:val="004B0A97"/>
    <w:rsid w:val="004B2033"/>
    <w:rsid w:val="004B253E"/>
    <w:rsid w:val="004B2FD5"/>
    <w:rsid w:val="004C0F44"/>
    <w:rsid w:val="004C15C7"/>
    <w:rsid w:val="004C1FF2"/>
    <w:rsid w:val="004C4D2A"/>
    <w:rsid w:val="004C600F"/>
    <w:rsid w:val="004C72B8"/>
    <w:rsid w:val="004D0F03"/>
    <w:rsid w:val="004D123B"/>
    <w:rsid w:val="004D59E2"/>
    <w:rsid w:val="004D5CE1"/>
    <w:rsid w:val="004D6056"/>
    <w:rsid w:val="004D6BF9"/>
    <w:rsid w:val="004E00FA"/>
    <w:rsid w:val="004E26EF"/>
    <w:rsid w:val="004E2C0E"/>
    <w:rsid w:val="004E433C"/>
    <w:rsid w:val="004E4D6E"/>
    <w:rsid w:val="004E69B6"/>
    <w:rsid w:val="004E6FE0"/>
    <w:rsid w:val="004F0BB0"/>
    <w:rsid w:val="004F361F"/>
    <w:rsid w:val="004F3EED"/>
    <w:rsid w:val="004F4FBD"/>
    <w:rsid w:val="004F6394"/>
    <w:rsid w:val="004F7832"/>
    <w:rsid w:val="004F797D"/>
    <w:rsid w:val="00502885"/>
    <w:rsid w:val="00503630"/>
    <w:rsid w:val="00504D50"/>
    <w:rsid w:val="00505FB1"/>
    <w:rsid w:val="005066C1"/>
    <w:rsid w:val="005070BF"/>
    <w:rsid w:val="00510B37"/>
    <w:rsid w:val="00511C4E"/>
    <w:rsid w:val="005123CF"/>
    <w:rsid w:val="00517883"/>
    <w:rsid w:val="00521231"/>
    <w:rsid w:val="0052130E"/>
    <w:rsid w:val="005238FA"/>
    <w:rsid w:val="00523AFB"/>
    <w:rsid w:val="00523C90"/>
    <w:rsid w:val="00525D26"/>
    <w:rsid w:val="00530240"/>
    <w:rsid w:val="00535D0F"/>
    <w:rsid w:val="00535F5A"/>
    <w:rsid w:val="00535FD4"/>
    <w:rsid w:val="00537AB8"/>
    <w:rsid w:val="00542170"/>
    <w:rsid w:val="0054569B"/>
    <w:rsid w:val="00552284"/>
    <w:rsid w:val="00554287"/>
    <w:rsid w:val="00555871"/>
    <w:rsid w:val="00557C45"/>
    <w:rsid w:val="00570D17"/>
    <w:rsid w:val="00572334"/>
    <w:rsid w:val="005772E0"/>
    <w:rsid w:val="00582D5C"/>
    <w:rsid w:val="00585869"/>
    <w:rsid w:val="005866C4"/>
    <w:rsid w:val="00587ADE"/>
    <w:rsid w:val="00591111"/>
    <w:rsid w:val="00592216"/>
    <w:rsid w:val="0059224D"/>
    <w:rsid w:val="00592F92"/>
    <w:rsid w:val="00593A7C"/>
    <w:rsid w:val="00595C23"/>
    <w:rsid w:val="005A741D"/>
    <w:rsid w:val="005B0BE8"/>
    <w:rsid w:val="005B0E08"/>
    <w:rsid w:val="005B33D5"/>
    <w:rsid w:val="005B576A"/>
    <w:rsid w:val="005B6B88"/>
    <w:rsid w:val="005C0580"/>
    <w:rsid w:val="005C1FE7"/>
    <w:rsid w:val="005C298B"/>
    <w:rsid w:val="005C2B61"/>
    <w:rsid w:val="005C63F2"/>
    <w:rsid w:val="005D0A86"/>
    <w:rsid w:val="005D7C88"/>
    <w:rsid w:val="005E2E29"/>
    <w:rsid w:val="005E2EA5"/>
    <w:rsid w:val="005E63AD"/>
    <w:rsid w:val="005F0E59"/>
    <w:rsid w:val="005F114C"/>
    <w:rsid w:val="005F1EB6"/>
    <w:rsid w:val="005F3FEB"/>
    <w:rsid w:val="005F73A3"/>
    <w:rsid w:val="0060205A"/>
    <w:rsid w:val="00602C7D"/>
    <w:rsid w:val="00604C61"/>
    <w:rsid w:val="006057BA"/>
    <w:rsid w:val="00606987"/>
    <w:rsid w:val="0061195B"/>
    <w:rsid w:val="00612688"/>
    <w:rsid w:val="00612A94"/>
    <w:rsid w:val="00612F0B"/>
    <w:rsid w:val="00613235"/>
    <w:rsid w:val="00617296"/>
    <w:rsid w:val="00617956"/>
    <w:rsid w:val="006219B4"/>
    <w:rsid w:val="00621B66"/>
    <w:rsid w:val="00622BEC"/>
    <w:rsid w:val="00622C10"/>
    <w:rsid w:val="006232DF"/>
    <w:rsid w:val="00624E07"/>
    <w:rsid w:val="00625576"/>
    <w:rsid w:val="00625DFE"/>
    <w:rsid w:val="00626B0A"/>
    <w:rsid w:val="00626B39"/>
    <w:rsid w:val="00633664"/>
    <w:rsid w:val="0063507E"/>
    <w:rsid w:val="00635EA7"/>
    <w:rsid w:val="00637792"/>
    <w:rsid w:val="00640C50"/>
    <w:rsid w:val="00641134"/>
    <w:rsid w:val="00645011"/>
    <w:rsid w:val="00645AB6"/>
    <w:rsid w:val="0064644A"/>
    <w:rsid w:val="00646FBE"/>
    <w:rsid w:val="006474E1"/>
    <w:rsid w:val="00650374"/>
    <w:rsid w:val="00650D73"/>
    <w:rsid w:val="00651746"/>
    <w:rsid w:val="00651BBE"/>
    <w:rsid w:val="006524E9"/>
    <w:rsid w:val="00654129"/>
    <w:rsid w:val="00655AD2"/>
    <w:rsid w:val="0065730E"/>
    <w:rsid w:val="0066094A"/>
    <w:rsid w:val="00661C39"/>
    <w:rsid w:val="006635BE"/>
    <w:rsid w:val="006652BB"/>
    <w:rsid w:val="00665B14"/>
    <w:rsid w:val="006664F1"/>
    <w:rsid w:val="00667604"/>
    <w:rsid w:val="00673138"/>
    <w:rsid w:val="006754C0"/>
    <w:rsid w:val="00680816"/>
    <w:rsid w:val="00680BEC"/>
    <w:rsid w:val="00682333"/>
    <w:rsid w:val="006835A4"/>
    <w:rsid w:val="0068592A"/>
    <w:rsid w:val="00685EBF"/>
    <w:rsid w:val="00686B30"/>
    <w:rsid w:val="0068738A"/>
    <w:rsid w:val="00687AB2"/>
    <w:rsid w:val="00687CE6"/>
    <w:rsid w:val="00690420"/>
    <w:rsid w:val="00690659"/>
    <w:rsid w:val="00691888"/>
    <w:rsid w:val="00694176"/>
    <w:rsid w:val="006A0072"/>
    <w:rsid w:val="006A0C7C"/>
    <w:rsid w:val="006A165B"/>
    <w:rsid w:val="006A6CFA"/>
    <w:rsid w:val="006A6D57"/>
    <w:rsid w:val="006A6E3E"/>
    <w:rsid w:val="006B2E97"/>
    <w:rsid w:val="006B3383"/>
    <w:rsid w:val="006B47DB"/>
    <w:rsid w:val="006B5053"/>
    <w:rsid w:val="006B7663"/>
    <w:rsid w:val="006C3063"/>
    <w:rsid w:val="006C5164"/>
    <w:rsid w:val="006C5933"/>
    <w:rsid w:val="006C790C"/>
    <w:rsid w:val="006D324B"/>
    <w:rsid w:val="006D32A6"/>
    <w:rsid w:val="006E1521"/>
    <w:rsid w:val="006E4DC7"/>
    <w:rsid w:val="006E5297"/>
    <w:rsid w:val="006E6A3A"/>
    <w:rsid w:val="006E70D3"/>
    <w:rsid w:val="006F0020"/>
    <w:rsid w:val="006F25D5"/>
    <w:rsid w:val="006F2A3B"/>
    <w:rsid w:val="006F3118"/>
    <w:rsid w:val="006F71FB"/>
    <w:rsid w:val="007003C2"/>
    <w:rsid w:val="00700989"/>
    <w:rsid w:val="0070192E"/>
    <w:rsid w:val="00701C1D"/>
    <w:rsid w:val="007108A2"/>
    <w:rsid w:val="00711817"/>
    <w:rsid w:val="007141C3"/>
    <w:rsid w:val="00715438"/>
    <w:rsid w:val="007158BF"/>
    <w:rsid w:val="007169B9"/>
    <w:rsid w:val="00720C4A"/>
    <w:rsid w:val="00721472"/>
    <w:rsid w:val="007233AE"/>
    <w:rsid w:val="00724299"/>
    <w:rsid w:val="00725600"/>
    <w:rsid w:val="007273C4"/>
    <w:rsid w:val="00730AF5"/>
    <w:rsid w:val="00732097"/>
    <w:rsid w:val="007346CF"/>
    <w:rsid w:val="00741AF8"/>
    <w:rsid w:val="00741C1D"/>
    <w:rsid w:val="00741C9B"/>
    <w:rsid w:val="0074409F"/>
    <w:rsid w:val="007444F0"/>
    <w:rsid w:val="0074593B"/>
    <w:rsid w:val="00746CF7"/>
    <w:rsid w:val="00750220"/>
    <w:rsid w:val="0075317E"/>
    <w:rsid w:val="00754CF7"/>
    <w:rsid w:val="00760853"/>
    <w:rsid w:val="00761579"/>
    <w:rsid w:val="007638EF"/>
    <w:rsid w:val="0077057A"/>
    <w:rsid w:val="00776962"/>
    <w:rsid w:val="00784A06"/>
    <w:rsid w:val="007857B8"/>
    <w:rsid w:val="00793433"/>
    <w:rsid w:val="00793492"/>
    <w:rsid w:val="007934F7"/>
    <w:rsid w:val="0079355E"/>
    <w:rsid w:val="00793769"/>
    <w:rsid w:val="00793C05"/>
    <w:rsid w:val="00795897"/>
    <w:rsid w:val="0079649C"/>
    <w:rsid w:val="00797F85"/>
    <w:rsid w:val="007A1FE9"/>
    <w:rsid w:val="007A2E40"/>
    <w:rsid w:val="007A67BB"/>
    <w:rsid w:val="007A7EDC"/>
    <w:rsid w:val="007C0F15"/>
    <w:rsid w:val="007C243F"/>
    <w:rsid w:val="007C28F4"/>
    <w:rsid w:val="007C5CFD"/>
    <w:rsid w:val="007D0BC5"/>
    <w:rsid w:val="007D0F71"/>
    <w:rsid w:val="007D164D"/>
    <w:rsid w:val="007D320C"/>
    <w:rsid w:val="007D3AE4"/>
    <w:rsid w:val="007D4DA9"/>
    <w:rsid w:val="007D672B"/>
    <w:rsid w:val="007E0AFB"/>
    <w:rsid w:val="007E0C25"/>
    <w:rsid w:val="007E25E0"/>
    <w:rsid w:val="007E2F3A"/>
    <w:rsid w:val="007E5C96"/>
    <w:rsid w:val="007E6AD0"/>
    <w:rsid w:val="007E74A6"/>
    <w:rsid w:val="007E79F7"/>
    <w:rsid w:val="007E7E46"/>
    <w:rsid w:val="007E7F76"/>
    <w:rsid w:val="007F05F1"/>
    <w:rsid w:val="007F5978"/>
    <w:rsid w:val="007F63B0"/>
    <w:rsid w:val="007F6F03"/>
    <w:rsid w:val="0080102A"/>
    <w:rsid w:val="00801B92"/>
    <w:rsid w:val="008041EC"/>
    <w:rsid w:val="008042C6"/>
    <w:rsid w:val="00805E0C"/>
    <w:rsid w:val="008064B1"/>
    <w:rsid w:val="00806F07"/>
    <w:rsid w:val="00810BD1"/>
    <w:rsid w:val="00813F46"/>
    <w:rsid w:val="00815093"/>
    <w:rsid w:val="008154F4"/>
    <w:rsid w:val="00823D41"/>
    <w:rsid w:val="00824325"/>
    <w:rsid w:val="0082435B"/>
    <w:rsid w:val="00824949"/>
    <w:rsid w:val="00825794"/>
    <w:rsid w:val="00831DD4"/>
    <w:rsid w:val="00833E32"/>
    <w:rsid w:val="00837872"/>
    <w:rsid w:val="00837C23"/>
    <w:rsid w:val="00841006"/>
    <w:rsid w:val="00843C26"/>
    <w:rsid w:val="00846986"/>
    <w:rsid w:val="0085308C"/>
    <w:rsid w:val="008606FF"/>
    <w:rsid w:val="008628FB"/>
    <w:rsid w:val="00863260"/>
    <w:rsid w:val="00863968"/>
    <w:rsid w:val="00867A5E"/>
    <w:rsid w:val="00867B39"/>
    <w:rsid w:val="008732DF"/>
    <w:rsid w:val="0087539E"/>
    <w:rsid w:val="00875656"/>
    <w:rsid w:val="00877843"/>
    <w:rsid w:val="00880DA2"/>
    <w:rsid w:val="00882B2C"/>
    <w:rsid w:val="008837E0"/>
    <w:rsid w:val="00886713"/>
    <w:rsid w:val="0089059A"/>
    <w:rsid w:val="00890F7E"/>
    <w:rsid w:val="00891E19"/>
    <w:rsid w:val="00892115"/>
    <w:rsid w:val="00892B55"/>
    <w:rsid w:val="008939BF"/>
    <w:rsid w:val="00894774"/>
    <w:rsid w:val="00897315"/>
    <w:rsid w:val="008A5315"/>
    <w:rsid w:val="008B3244"/>
    <w:rsid w:val="008B3531"/>
    <w:rsid w:val="008B52AC"/>
    <w:rsid w:val="008B58E3"/>
    <w:rsid w:val="008C1B72"/>
    <w:rsid w:val="008C42E2"/>
    <w:rsid w:val="008C4957"/>
    <w:rsid w:val="008C7E3B"/>
    <w:rsid w:val="008D2A8E"/>
    <w:rsid w:val="008D60E9"/>
    <w:rsid w:val="008E0747"/>
    <w:rsid w:val="008E2815"/>
    <w:rsid w:val="008E4010"/>
    <w:rsid w:val="008E4938"/>
    <w:rsid w:val="008E715B"/>
    <w:rsid w:val="008F1A91"/>
    <w:rsid w:val="008F512F"/>
    <w:rsid w:val="008F609E"/>
    <w:rsid w:val="0090044C"/>
    <w:rsid w:val="00900D6D"/>
    <w:rsid w:val="00904535"/>
    <w:rsid w:val="00910933"/>
    <w:rsid w:val="00911AE3"/>
    <w:rsid w:val="00912D37"/>
    <w:rsid w:val="0091407B"/>
    <w:rsid w:val="00916C41"/>
    <w:rsid w:val="00920E8C"/>
    <w:rsid w:val="00920F6B"/>
    <w:rsid w:val="009214B1"/>
    <w:rsid w:val="00922A08"/>
    <w:rsid w:val="00923B5B"/>
    <w:rsid w:val="00927895"/>
    <w:rsid w:val="0093150E"/>
    <w:rsid w:val="00935F6D"/>
    <w:rsid w:val="00936451"/>
    <w:rsid w:val="0093695F"/>
    <w:rsid w:val="00936DD7"/>
    <w:rsid w:val="0094242E"/>
    <w:rsid w:val="0094479E"/>
    <w:rsid w:val="00944903"/>
    <w:rsid w:val="00945477"/>
    <w:rsid w:val="009509EF"/>
    <w:rsid w:val="00951DB2"/>
    <w:rsid w:val="00955E86"/>
    <w:rsid w:val="00955EF3"/>
    <w:rsid w:val="009565B6"/>
    <w:rsid w:val="009567FA"/>
    <w:rsid w:val="00956A0C"/>
    <w:rsid w:val="0096089B"/>
    <w:rsid w:val="009609DB"/>
    <w:rsid w:val="0096216C"/>
    <w:rsid w:val="0096344F"/>
    <w:rsid w:val="009658CE"/>
    <w:rsid w:val="00965C83"/>
    <w:rsid w:val="009660DC"/>
    <w:rsid w:val="0097179E"/>
    <w:rsid w:val="0097483B"/>
    <w:rsid w:val="00975083"/>
    <w:rsid w:val="0098483C"/>
    <w:rsid w:val="00984E79"/>
    <w:rsid w:val="0098529A"/>
    <w:rsid w:val="00992A69"/>
    <w:rsid w:val="00993562"/>
    <w:rsid w:val="009939BF"/>
    <w:rsid w:val="00994E2C"/>
    <w:rsid w:val="009967A0"/>
    <w:rsid w:val="00996B7A"/>
    <w:rsid w:val="009979BD"/>
    <w:rsid w:val="009A0604"/>
    <w:rsid w:val="009A0838"/>
    <w:rsid w:val="009A22D9"/>
    <w:rsid w:val="009A4266"/>
    <w:rsid w:val="009B41E3"/>
    <w:rsid w:val="009B485E"/>
    <w:rsid w:val="009B4C92"/>
    <w:rsid w:val="009B7201"/>
    <w:rsid w:val="009C048C"/>
    <w:rsid w:val="009C06AD"/>
    <w:rsid w:val="009C115A"/>
    <w:rsid w:val="009C3543"/>
    <w:rsid w:val="009C5087"/>
    <w:rsid w:val="009C7949"/>
    <w:rsid w:val="009D0803"/>
    <w:rsid w:val="009D0FC1"/>
    <w:rsid w:val="009D37CC"/>
    <w:rsid w:val="009D5068"/>
    <w:rsid w:val="009E0217"/>
    <w:rsid w:val="009E1247"/>
    <w:rsid w:val="009E21EE"/>
    <w:rsid w:val="009E2400"/>
    <w:rsid w:val="009E4BDA"/>
    <w:rsid w:val="009E4C1C"/>
    <w:rsid w:val="009E6FA9"/>
    <w:rsid w:val="009F10AD"/>
    <w:rsid w:val="009F1522"/>
    <w:rsid w:val="009F2635"/>
    <w:rsid w:val="009F5A67"/>
    <w:rsid w:val="009F71FD"/>
    <w:rsid w:val="00A029BB"/>
    <w:rsid w:val="00A0408C"/>
    <w:rsid w:val="00A0545C"/>
    <w:rsid w:val="00A05E61"/>
    <w:rsid w:val="00A06F6D"/>
    <w:rsid w:val="00A11585"/>
    <w:rsid w:val="00A14755"/>
    <w:rsid w:val="00A14827"/>
    <w:rsid w:val="00A1516A"/>
    <w:rsid w:val="00A15411"/>
    <w:rsid w:val="00A17C62"/>
    <w:rsid w:val="00A238BD"/>
    <w:rsid w:val="00A23B5E"/>
    <w:rsid w:val="00A32D85"/>
    <w:rsid w:val="00A3428D"/>
    <w:rsid w:val="00A405A8"/>
    <w:rsid w:val="00A40AAA"/>
    <w:rsid w:val="00A418AB"/>
    <w:rsid w:val="00A43116"/>
    <w:rsid w:val="00A466E4"/>
    <w:rsid w:val="00A50066"/>
    <w:rsid w:val="00A51D3D"/>
    <w:rsid w:val="00A53D11"/>
    <w:rsid w:val="00A53E24"/>
    <w:rsid w:val="00A560FB"/>
    <w:rsid w:val="00A56E3E"/>
    <w:rsid w:val="00A57789"/>
    <w:rsid w:val="00A57E46"/>
    <w:rsid w:val="00A606D1"/>
    <w:rsid w:val="00A62C78"/>
    <w:rsid w:val="00A6718D"/>
    <w:rsid w:val="00A677EC"/>
    <w:rsid w:val="00A72A56"/>
    <w:rsid w:val="00A73C16"/>
    <w:rsid w:val="00A76538"/>
    <w:rsid w:val="00A80FFF"/>
    <w:rsid w:val="00A82B4D"/>
    <w:rsid w:val="00A8489E"/>
    <w:rsid w:val="00A855BF"/>
    <w:rsid w:val="00A96C7B"/>
    <w:rsid w:val="00AA02A1"/>
    <w:rsid w:val="00AA1B4A"/>
    <w:rsid w:val="00AA47E9"/>
    <w:rsid w:val="00AA5CA6"/>
    <w:rsid w:val="00AA6CFC"/>
    <w:rsid w:val="00AA6E3C"/>
    <w:rsid w:val="00AB050C"/>
    <w:rsid w:val="00AB099A"/>
    <w:rsid w:val="00AB4850"/>
    <w:rsid w:val="00AB54B9"/>
    <w:rsid w:val="00AC1631"/>
    <w:rsid w:val="00AC1EF5"/>
    <w:rsid w:val="00AD0443"/>
    <w:rsid w:val="00AD078F"/>
    <w:rsid w:val="00AD0DEE"/>
    <w:rsid w:val="00AD0FEA"/>
    <w:rsid w:val="00AD1775"/>
    <w:rsid w:val="00AD20D6"/>
    <w:rsid w:val="00AD4262"/>
    <w:rsid w:val="00AD4979"/>
    <w:rsid w:val="00AD638C"/>
    <w:rsid w:val="00AE15DB"/>
    <w:rsid w:val="00AE312A"/>
    <w:rsid w:val="00AE3331"/>
    <w:rsid w:val="00AE6D31"/>
    <w:rsid w:val="00AE7162"/>
    <w:rsid w:val="00AF320D"/>
    <w:rsid w:val="00AF34C6"/>
    <w:rsid w:val="00B00410"/>
    <w:rsid w:val="00B045DF"/>
    <w:rsid w:val="00B0507A"/>
    <w:rsid w:val="00B06AF4"/>
    <w:rsid w:val="00B13DFF"/>
    <w:rsid w:val="00B14B6A"/>
    <w:rsid w:val="00B15646"/>
    <w:rsid w:val="00B162EA"/>
    <w:rsid w:val="00B1685D"/>
    <w:rsid w:val="00B17A3B"/>
    <w:rsid w:val="00B2038D"/>
    <w:rsid w:val="00B20CA1"/>
    <w:rsid w:val="00B238B0"/>
    <w:rsid w:val="00B24D6B"/>
    <w:rsid w:val="00B24E6B"/>
    <w:rsid w:val="00B25416"/>
    <w:rsid w:val="00B261B0"/>
    <w:rsid w:val="00B27F17"/>
    <w:rsid w:val="00B3540B"/>
    <w:rsid w:val="00B36851"/>
    <w:rsid w:val="00B41034"/>
    <w:rsid w:val="00B434D5"/>
    <w:rsid w:val="00B43FF4"/>
    <w:rsid w:val="00B50994"/>
    <w:rsid w:val="00B53CFB"/>
    <w:rsid w:val="00B56492"/>
    <w:rsid w:val="00B60D7B"/>
    <w:rsid w:val="00B634B7"/>
    <w:rsid w:val="00B64C9F"/>
    <w:rsid w:val="00B66A2A"/>
    <w:rsid w:val="00B75E91"/>
    <w:rsid w:val="00B77971"/>
    <w:rsid w:val="00B83C47"/>
    <w:rsid w:val="00B853A3"/>
    <w:rsid w:val="00B86FEC"/>
    <w:rsid w:val="00B87398"/>
    <w:rsid w:val="00B87699"/>
    <w:rsid w:val="00B87F8F"/>
    <w:rsid w:val="00B90495"/>
    <w:rsid w:val="00B92AF6"/>
    <w:rsid w:val="00B94434"/>
    <w:rsid w:val="00B95F91"/>
    <w:rsid w:val="00BA1401"/>
    <w:rsid w:val="00BA22F7"/>
    <w:rsid w:val="00BA350E"/>
    <w:rsid w:val="00BA6592"/>
    <w:rsid w:val="00BA73C3"/>
    <w:rsid w:val="00BA7744"/>
    <w:rsid w:val="00BA7CB8"/>
    <w:rsid w:val="00BA7ED3"/>
    <w:rsid w:val="00BB18A7"/>
    <w:rsid w:val="00BB2108"/>
    <w:rsid w:val="00BB2774"/>
    <w:rsid w:val="00BB427D"/>
    <w:rsid w:val="00BB7B8E"/>
    <w:rsid w:val="00BB7C7E"/>
    <w:rsid w:val="00BC27EE"/>
    <w:rsid w:val="00BC2F2D"/>
    <w:rsid w:val="00BC3A14"/>
    <w:rsid w:val="00BC59E3"/>
    <w:rsid w:val="00BC616C"/>
    <w:rsid w:val="00BD14E8"/>
    <w:rsid w:val="00BD37AB"/>
    <w:rsid w:val="00BD4447"/>
    <w:rsid w:val="00BE2729"/>
    <w:rsid w:val="00BE2FB3"/>
    <w:rsid w:val="00BE446F"/>
    <w:rsid w:val="00BE4553"/>
    <w:rsid w:val="00BE78A5"/>
    <w:rsid w:val="00BF12E8"/>
    <w:rsid w:val="00BF1CAB"/>
    <w:rsid w:val="00BF328E"/>
    <w:rsid w:val="00BF4ADB"/>
    <w:rsid w:val="00BF50B0"/>
    <w:rsid w:val="00BF6B60"/>
    <w:rsid w:val="00BF6D5C"/>
    <w:rsid w:val="00C0019B"/>
    <w:rsid w:val="00C00D52"/>
    <w:rsid w:val="00C07734"/>
    <w:rsid w:val="00C11203"/>
    <w:rsid w:val="00C12F38"/>
    <w:rsid w:val="00C202A9"/>
    <w:rsid w:val="00C221B2"/>
    <w:rsid w:val="00C32949"/>
    <w:rsid w:val="00C348DD"/>
    <w:rsid w:val="00C3619F"/>
    <w:rsid w:val="00C40771"/>
    <w:rsid w:val="00C40B99"/>
    <w:rsid w:val="00C42A3B"/>
    <w:rsid w:val="00C434E3"/>
    <w:rsid w:val="00C43E78"/>
    <w:rsid w:val="00C51758"/>
    <w:rsid w:val="00C51789"/>
    <w:rsid w:val="00C53C69"/>
    <w:rsid w:val="00C5604A"/>
    <w:rsid w:val="00C56D71"/>
    <w:rsid w:val="00C61067"/>
    <w:rsid w:val="00C617F1"/>
    <w:rsid w:val="00C620CA"/>
    <w:rsid w:val="00C70E6B"/>
    <w:rsid w:val="00C711BF"/>
    <w:rsid w:val="00C71E83"/>
    <w:rsid w:val="00C73ADC"/>
    <w:rsid w:val="00C74A3F"/>
    <w:rsid w:val="00C75187"/>
    <w:rsid w:val="00C76844"/>
    <w:rsid w:val="00C76EC1"/>
    <w:rsid w:val="00C77F82"/>
    <w:rsid w:val="00C815CF"/>
    <w:rsid w:val="00C82FF0"/>
    <w:rsid w:val="00C8313D"/>
    <w:rsid w:val="00C85372"/>
    <w:rsid w:val="00C86095"/>
    <w:rsid w:val="00C8683C"/>
    <w:rsid w:val="00C86852"/>
    <w:rsid w:val="00C932E8"/>
    <w:rsid w:val="00C9511E"/>
    <w:rsid w:val="00C95AFB"/>
    <w:rsid w:val="00C96BD4"/>
    <w:rsid w:val="00CA21FD"/>
    <w:rsid w:val="00CA27BD"/>
    <w:rsid w:val="00CA415B"/>
    <w:rsid w:val="00CA4186"/>
    <w:rsid w:val="00CA7672"/>
    <w:rsid w:val="00CB3695"/>
    <w:rsid w:val="00CB4429"/>
    <w:rsid w:val="00CB4E09"/>
    <w:rsid w:val="00CB502E"/>
    <w:rsid w:val="00CB60C8"/>
    <w:rsid w:val="00CC025F"/>
    <w:rsid w:val="00CC55BE"/>
    <w:rsid w:val="00CC596C"/>
    <w:rsid w:val="00CC78C3"/>
    <w:rsid w:val="00CC7E52"/>
    <w:rsid w:val="00CD217C"/>
    <w:rsid w:val="00CD2EA4"/>
    <w:rsid w:val="00CD786E"/>
    <w:rsid w:val="00CE0323"/>
    <w:rsid w:val="00CE106A"/>
    <w:rsid w:val="00CE3489"/>
    <w:rsid w:val="00CE5009"/>
    <w:rsid w:val="00CE6B03"/>
    <w:rsid w:val="00CF21DC"/>
    <w:rsid w:val="00CF3837"/>
    <w:rsid w:val="00CF6895"/>
    <w:rsid w:val="00CF75F7"/>
    <w:rsid w:val="00CF77C5"/>
    <w:rsid w:val="00D032D3"/>
    <w:rsid w:val="00D11CA5"/>
    <w:rsid w:val="00D120B9"/>
    <w:rsid w:val="00D14A60"/>
    <w:rsid w:val="00D175CB"/>
    <w:rsid w:val="00D24063"/>
    <w:rsid w:val="00D24B9B"/>
    <w:rsid w:val="00D269FF"/>
    <w:rsid w:val="00D326D3"/>
    <w:rsid w:val="00D339E9"/>
    <w:rsid w:val="00D3611C"/>
    <w:rsid w:val="00D37426"/>
    <w:rsid w:val="00D37585"/>
    <w:rsid w:val="00D4086D"/>
    <w:rsid w:val="00D42B51"/>
    <w:rsid w:val="00D43C75"/>
    <w:rsid w:val="00D455FB"/>
    <w:rsid w:val="00D54BB4"/>
    <w:rsid w:val="00D555B4"/>
    <w:rsid w:val="00D56318"/>
    <w:rsid w:val="00D62ADC"/>
    <w:rsid w:val="00D63C1D"/>
    <w:rsid w:val="00D64EA8"/>
    <w:rsid w:val="00D6610C"/>
    <w:rsid w:val="00D676A7"/>
    <w:rsid w:val="00D70749"/>
    <w:rsid w:val="00D7317B"/>
    <w:rsid w:val="00D7583C"/>
    <w:rsid w:val="00D761EE"/>
    <w:rsid w:val="00D76896"/>
    <w:rsid w:val="00D807DD"/>
    <w:rsid w:val="00D84058"/>
    <w:rsid w:val="00D840FA"/>
    <w:rsid w:val="00D94698"/>
    <w:rsid w:val="00D968C9"/>
    <w:rsid w:val="00DA129D"/>
    <w:rsid w:val="00DA5096"/>
    <w:rsid w:val="00DA6C98"/>
    <w:rsid w:val="00DB1B26"/>
    <w:rsid w:val="00DB44C6"/>
    <w:rsid w:val="00DC0893"/>
    <w:rsid w:val="00DC1D11"/>
    <w:rsid w:val="00DC4863"/>
    <w:rsid w:val="00DD3910"/>
    <w:rsid w:val="00DD4C8E"/>
    <w:rsid w:val="00DD72A2"/>
    <w:rsid w:val="00DE0C79"/>
    <w:rsid w:val="00DE25E3"/>
    <w:rsid w:val="00DE2EAD"/>
    <w:rsid w:val="00DE3216"/>
    <w:rsid w:val="00DE32CB"/>
    <w:rsid w:val="00DE3AD3"/>
    <w:rsid w:val="00DE6EF0"/>
    <w:rsid w:val="00DE707D"/>
    <w:rsid w:val="00DF0FE3"/>
    <w:rsid w:val="00DF2B06"/>
    <w:rsid w:val="00DF2FA3"/>
    <w:rsid w:val="00DF3AFB"/>
    <w:rsid w:val="00E00B5E"/>
    <w:rsid w:val="00E00BA7"/>
    <w:rsid w:val="00E015B0"/>
    <w:rsid w:val="00E01654"/>
    <w:rsid w:val="00E01F25"/>
    <w:rsid w:val="00E03532"/>
    <w:rsid w:val="00E03DE7"/>
    <w:rsid w:val="00E05007"/>
    <w:rsid w:val="00E109F7"/>
    <w:rsid w:val="00E14496"/>
    <w:rsid w:val="00E15440"/>
    <w:rsid w:val="00E15DAA"/>
    <w:rsid w:val="00E21B45"/>
    <w:rsid w:val="00E261E1"/>
    <w:rsid w:val="00E2665D"/>
    <w:rsid w:val="00E268CE"/>
    <w:rsid w:val="00E26E6B"/>
    <w:rsid w:val="00E27DE2"/>
    <w:rsid w:val="00E30E13"/>
    <w:rsid w:val="00E31435"/>
    <w:rsid w:val="00E36B6E"/>
    <w:rsid w:val="00E36F3B"/>
    <w:rsid w:val="00E42749"/>
    <w:rsid w:val="00E4497C"/>
    <w:rsid w:val="00E460CB"/>
    <w:rsid w:val="00E46A0A"/>
    <w:rsid w:val="00E475D8"/>
    <w:rsid w:val="00E500B3"/>
    <w:rsid w:val="00E503CF"/>
    <w:rsid w:val="00E50BEC"/>
    <w:rsid w:val="00E516B0"/>
    <w:rsid w:val="00E519C7"/>
    <w:rsid w:val="00E532A2"/>
    <w:rsid w:val="00E533E0"/>
    <w:rsid w:val="00E56315"/>
    <w:rsid w:val="00E5637C"/>
    <w:rsid w:val="00E56F87"/>
    <w:rsid w:val="00E57821"/>
    <w:rsid w:val="00E63966"/>
    <w:rsid w:val="00E649CA"/>
    <w:rsid w:val="00E65ED5"/>
    <w:rsid w:val="00E674BB"/>
    <w:rsid w:val="00E75BF6"/>
    <w:rsid w:val="00E75CA9"/>
    <w:rsid w:val="00E76570"/>
    <w:rsid w:val="00E765D7"/>
    <w:rsid w:val="00E80BFA"/>
    <w:rsid w:val="00E830B2"/>
    <w:rsid w:val="00E8575B"/>
    <w:rsid w:val="00E85C94"/>
    <w:rsid w:val="00E86270"/>
    <w:rsid w:val="00E873E7"/>
    <w:rsid w:val="00E87BBD"/>
    <w:rsid w:val="00E87F33"/>
    <w:rsid w:val="00E95172"/>
    <w:rsid w:val="00E97E81"/>
    <w:rsid w:val="00EA4EA6"/>
    <w:rsid w:val="00EB270F"/>
    <w:rsid w:val="00EB7478"/>
    <w:rsid w:val="00EC0188"/>
    <w:rsid w:val="00EC3909"/>
    <w:rsid w:val="00EC5F4B"/>
    <w:rsid w:val="00EC6072"/>
    <w:rsid w:val="00EC6125"/>
    <w:rsid w:val="00ED0CD5"/>
    <w:rsid w:val="00ED376D"/>
    <w:rsid w:val="00ED7F3D"/>
    <w:rsid w:val="00EE06C8"/>
    <w:rsid w:val="00EE18C2"/>
    <w:rsid w:val="00EE19EF"/>
    <w:rsid w:val="00EE2F6F"/>
    <w:rsid w:val="00EE79B0"/>
    <w:rsid w:val="00EF0285"/>
    <w:rsid w:val="00EF0468"/>
    <w:rsid w:val="00EF17D8"/>
    <w:rsid w:val="00F01020"/>
    <w:rsid w:val="00F02611"/>
    <w:rsid w:val="00F044FF"/>
    <w:rsid w:val="00F07636"/>
    <w:rsid w:val="00F07C46"/>
    <w:rsid w:val="00F10747"/>
    <w:rsid w:val="00F132AC"/>
    <w:rsid w:val="00F1653B"/>
    <w:rsid w:val="00F17335"/>
    <w:rsid w:val="00F17917"/>
    <w:rsid w:val="00F219F5"/>
    <w:rsid w:val="00F22599"/>
    <w:rsid w:val="00F2427B"/>
    <w:rsid w:val="00F25EFB"/>
    <w:rsid w:val="00F3002B"/>
    <w:rsid w:val="00F319A6"/>
    <w:rsid w:val="00F3417F"/>
    <w:rsid w:val="00F345D2"/>
    <w:rsid w:val="00F36333"/>
    <w:rsid w:val="00F41037"/>
    <w:rsid w:val="00F42154"/>
    <w:rsid w:val="00F428D9"/>
    <w:rsid w:val="00F428FC"/>
    <w:rsid w:val="00F434FF"/>
    <w:rsid w:val="00F43DD6"/>
    <w:rsid w:val="00F47608"/>
    <w:rsid w:val="00F50513"/>
    <w:rsid w:val="00F50733"/>
    <w:rsid w:val="00F51CDF"/>
    <w:rsid w:val="00F52ECB"/>
    <w:rsid w:val="00F53574"/>
    <w:rsid w:val="00F604EB"/>
    <w:rsid w:val="00F608B3"/>
    <w:rsid w:val="00F6240D"/>
    <w:rsid w:val="00F63A1C"/>
    <w:rsid w:val="00F656FF"/>
    <w:rsid w:val="00F67FBD"/>
    <w:rsid w:val="00F75220"/>
    <w:rsid w:val="00F76137"/>
    <w:rsid w:val="00F777C1"/>
    <w:rsid w:val="00F800F8"/>
    <w:rsid w:val="00F8051A"/>
    <w:rsid w:val="00F80AAF"/>
    <w:rsid w:val="00F80D68"/>
    <w:rsid w:val="00F82BE3"/>
    <w:rsid w:val="00F82E6A"/>
    <w:rsid w:val="00F85221"/>
    <w:rsid w:val="00F855FA"/>
    <w:rsid w:val="00F85DD6"/>
    <w:rsid w:val="00F9336B"/>
    <w:rsid w:val="00F94E2E"/>
    <w:rsid w:val="00F94EE3"/>
    <w:rsid w:val="00F96732"/>
    <w:rsid w:val="00F97332"/>
    <w:rsid w:val="00F975F1"/>
    <w:rsid w:val="00FA08F8"/>
    <w:rsid w:val="00FA593D"/>
    <w:rsid w:val="00FA7A93"/>
    <w:rsid w:val="00FA7CE0"/>
    <w:rsid w:val="00FC0DE9"/>
    <w:rsid w:val="00FC1152"/>
    <w:rsid w:val="00FC242D"/>
    <w:rsid w:val="00FC2798"/>
    <w:rsid w:val="00FC395E"/>
    <w:rsid w:val="00FC3D85"/>
    <w:rsid w:val="00FC4E3C"/>
    <w:rsid w:val="00FC54F6"/>
    <w:rsid w:val="00FC64F2"/>
    <w:rsid w:val="00FC7913"/>
    <w:rsid w:val="00FC7D2F"/>
    <w:rsid w:val="00FD0F8C"/>
    <w:rsid w:val="00FD2686"/>
    <w:rsid w:val="00FD3CC1"/>
    <w:rsid w:val="00FD4D1C"/>
    <w:rsid w:val="00FE2F05"/>
    <w:rsid w:val="00FE4F74"/>
    <w:rsid w:val="00FE6145"/>
    <w:rsid w:val="00FE6DBE"/>
    <w:rsid w:val="00FF0E42"/>
    <w:rsid w:val="00FF7AD9"/>
    <w:rsid w:val="00FF7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48EA3"/>
  <w15:docId w15:val="{9A7BA4C6-BFD2-4305-ADB8-5D8D474E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16C"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rsid w:val="0096216C"/>
    <w:pPr>
      <w:keepNext/>
      <w:jc w:val="center"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qFormat/>
    <w:rsid w:val="0096216C"/>
    <w:pPr>
      <w:keepNext/>
      <w:outlineLvl w:val="1"/>
    </w:pPr>
    <w:rPr>
      <w:b/>
      <w:bCs/>
      <w:sz w:val="28"/>
      <w:lang w:val="hr-HR"/>
    </w:rPr>
  </w:style>
  <w:style w:type="paragraph" w:styleId="Naslov3">
    <w:name w:val="heading 3"/>
    <w:basedOn w:val="Normal"/>
    <w:next w:val="Normal"/>
    <w:qFormat/>
    <w:rsid w:val="0096216C"/>
    <w:pPr>
      <w:keepNext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rsid w:val="0096216C"/>
    <w:pPr>
      <w:keepNext/>
      <w:jc w:val="right"/>
      <w:outlineLvl w:val="3"/>
    </w:pPr>
    <w:rPr>
      <w:b/>
      <w:bCs/>
      <w:lang w:val="hr-HR"/>
    </w:rPr>
  </w:style>
  <w:style w:type="paragraph" w:styleId="Naslov5">
    <w:name w:val="heading 5"/>
    <w:basedOn w:val="Normal"/>
    <w:next w:val="Normal"/>
    <w:qFormat/>
    <w:rsid w:val="0096216C"/>
    <w:pPr>
      <w:keepNext/>
      <w:spacing w:line="360" w:lineRule="auto"/>
      <w:ind w:firstLine="720"/>
      <w:jc w:val="both"/>
      <w:outlineLvl w:val="4"/>
    </w:pPr>
    <w:rPr>
      <w:b/>
      <w:bCs/>
      <w:lang w:val="hr-HR"/>
    </w:rPr>
  </w:style>
  <w:style w:type="paragraph" w:styleId="Naslov6">
    <w:name w:val="heading 6"/>
    <w:basedOn w:val="Normal"/>
    <w:next w:val="Normal"/>
    <w:qFormat/>
    <w:rsid w:val="0096216C"/>
    <w:pPr>
      <w:keepNext/>
      <w:spacing w:line="360" w:lineRule="auto"/>
      <w:ind w:left="360"/>
      <w:jc w:val="both"/>
      <w:outlineLvl w:val="5"/>
    </w:pPr>
    <w:rPr>
      <w:b/>
      <w:bCs/>
      <w:lang w:val="hr-HR"/>
    </w:rPr>
  </w:style>
  <w:style w:type="paragraph" w:styleId="Naslov7">
    <w:name w:val="heading 7"/>
    <w:basedOn w:val="Normal"/>
    <w:next w:val="Normal"/>
    <w:qFormat/>
    <w:rsid w:val="0096216C"/>
    <w:pPr>
      <w:keepNext/>
      <w:spacing w:line="360" w:lineRule="auto"/>
      <w:jc w:val="both"/>
      <w:outlineLvl w:val="6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96216C"/>
    <w:pPr>
      <w:jc w:val="center"/>
    </w:pPr>
    <w:rPr>
      <w:b/>
      <w:bCs/>
      <w:lang w:val="hr-HR"/>
    </w:rPr>
  </w:style>
  <w:style w:type="paragraph" w:styleId="Podnoje">
    <w:name w:val="footer"/>
    <w:basedOn w:val="Normal"/>
    <w:semiHidden/>
    <w:rsid w:val="0096216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semiHidden/>
    <w:rsid w:val="0096216C"/>
  </w:style>
  <w:style w:type="paragraph" w:styleId="Tijeloteksta">
    <w:name w:val="Body Text"/>
    <w:basedOn w:val="Normal"/>
    <w:semiHidden/>
    <w:rsid w:val="0096216C"/>
    <w:pPr>
      <w:jc w:val="both"/>
    </w:pPr>
    <w:rPr>
      <w:lang w:val="hr-HR"/>
    </w:rPr>
  </w:style>
  <w:style w:type="paragraph" w:styleId="Uvuenotijeloteksta">
    <w:name w:val="Body Text Indent"/>
    <w:basedOn w:val="Normal"/>
    <w:link w:val="UvuenotijelotekstaChar"/>
    <w:semiHidden/>
    <w:rsid w:val="0096216C"/>
    <w:pPr>
      <w:spacing w:line="360" w:lineRule="auto"/>
      <w:ind w:firstLine="720"/>
      <w:jc w:val="both"/>
    </w:pPr>
    <w:rPr>
      <w:lang w:val="hr-HR"/>
    </w:rPr>
  </w:style>
  <w:style w:type="paragraph" w:styleId="Tijeloteksta2">
    <w:name w:val="Body Text 2"/>
    <w:basedOn w:val="Normal"/>
    <w:semiHidden/>
    <w:rsid w:val="0096216C"/>
    <w:pPr>
      <w:jc w:val="both"/>
    </w:pPr>
    <w:rPr>
      <w:spacing w:val="-2"/>
      <w:sz w:val="20"/>
      <w:lang w:val="hr-HR"/>
    </w:rPr>
  </w:style>
  <w:style w:type="paragraph" w:styleId="Tijeloteksta-uvlaka2">
    <w:name w:val="Body Text Indent 2"/>
    <w:basedOn w:val="Normal"/>
    <w:semiHidden/>
    <w:rsid w:val="0096216C"/>
    <w:pPr>
      <w:ind w:firstLine="720"/>
      <w:jc w:val="both"/>
    </w:pPr>
    <w:rPr>
      <w:color w:val="FF0000"/>
      <w:lang w:val="hr-HR"/>
    </w:rPr>
  </w:style>
  <w:style w:type="paragraph" w:styleId="Zaglavlje">
    <w:name w:val="header"/>
    <w:basedOn w:val="Normal"/>
    <w:semiHidden/>
    <w:rsid w:val="0096216C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A7ED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7A7EDC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6A6C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A14827"/>
    <w:pPr>
      <w:spacing w:before="100" w:beforeAutospacing="1" w:after="100" w:afterAutospacing="1"/>
    </w:pPr>
    <w:rPr>
      <w:lang w:val="hr-HR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413F2"/>
    <w:rPr>
      <w:sz w:val="24"/>
      <w:szCs w:val="24"/>
      <w:lang w:eastAsia="en-US"/>
    </w:rPr>
  </w:style>
  <w:style w:type="paragraph" w:styleId="Odlomakpopisa">
    <w:name w:val="List Paragraph"/>
    <w:basedOn w:val="Normal"/>
    <w:uiPriority w:val="34"/>
    <w:qFormat/>
    <w:rsid w:val="0045646E"/>
    <w:pPr>
      <w:widowControl w:val="0"/>
      <w:ind w:left="720"/>
      <w:contextualSpacing/>
    </w:pPr>
    <w:rPr>
      <w:rFonts w:eastAsia="Calibri"/>
      <w:szCs w:val="22"/>
      <w:lang w:val="hr-HR"/>
    </w:rPr>
  </w:style>
  <w:style w:type="table" w:styleId="Reetkatablice">
    <w:name w:val="Table Grid"/>
    <w:basedOn w:val="Obinatablica"/>
    <w:uiPriority w:val="59"/>
    <w:rsid w:val="00FC79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rednjipopis2-Isticanje1">
    <w:name w:val="Medium List 2 Accent 1"/>
    <w:basedOn w:val="Obinatablica"/>
    <w:uiPriority w:val="66"/>
    <w:rsid w:val="0074409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1">
    <w:name w:val="Svijetla rešetka - Isticanje 11"/>
    <w:basedOn w:val="Obinatablica"/>
    <w:uiPriority w:val="62"/>
    <w:rsid w:val="0049087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iperveza">
    <w:name w:val="Hyperlink"/>
    <w:basedOn w:val="Zadanifontodlomka"/>
    <w:uiPriority w:val="99"/>
    <w:semiHidden/>
    <w:unhideWhenUsed/>
    <w:rsid w:val="00AD0F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0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</c:backWall>
    <c:plotArea>
      <c:layout>
        <c:manualLayout>
          <c:layoutTarget val="inner"/>
          <c:xMode val="edge"/>
          <c:yMode val="edge"/>
          <c:x val="0.12367491166077739"/>
          <c:y val="4.5602605863192182E-2"/>
          <c:w val="0.85865724381625441"/>
          <c:h val="0.6449511400651465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Proračun 2024</c:v>
                </c:pt>
              </c:strCache>
            </c:strRef>
          </c:tx>
          <c:spPr>
            <a:solidFill>
              <a:srgbClr val="FFFFFF"/>
            </a:solidFill>
            <a:ln w="953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Sheet1!$A$2:$A$6</c:f>
              <c:strCache>
                <c:ptCount val="5"/>
                <c:pt idx="0">
                  <c:v>Prihodi od poreza</c:v>
                </c:pt>
                <c:pt idx="1">
                  <c:v>Neporezni prihodi</c:v>
                </c:pt>
                <c:pt idx="2">
                  <c:v>Tekući grantovi</c:v>
                </c:pt>
                <c:pt idx="3">
                  <c:v>Kapitalni grantovi</c:v>
                </c:pt>
                <c:pt idx="4">
                  <c:v>Prihodi po osnovi zaostalih obveza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52921780</c:v>
                </c:pt>
                <c:pt idx="1">
                  <c:v>4094010</c:v>
                </c:pt>
                <c:pt idx="2">
                  <c:v>10201675</c:v>
                </c:pt>
                <c:pt idx="3">
                  <c:v>336688</c:v>
                </c:pt>
                <c:pt idx="4">
                  <c:v>1340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59-40DE-BDB6-734E81878FE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Rebalans 2024</c:v>
                </c:pt>
              </c:strCache>
            </c:strRef>
          </c:tx>
          <c:spPr>
            <a:pattFill prst="wdUp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953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Sheet1!$A$2:$A$6</c:f>
              <c:strCache>
                <c:ptCount val="5"/>
                <c:pt idx="0">
                  <c:v>Prihodi od poreza</c:v>
                </c:pt>
                <c:pt idx="1">
                  <c:v>Neporezni prihodi</c:v>
                </c:pt>
                <c:pt idx="2">
                  <c:v>Tekući grantovi</c:v>
                </c:pt>
                <c:pt idx="3">
                  <c:v>Kapitalni grantovi</c:v>
                </c:pt>
                <c:pt idx="4">
                  <c:v>Prihodi po osnovi zaostalih obveza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56961162</c:v>
                </c:pt>
                <c:pt idx="1">
                  <c:v>3898134</c:v>
                </c:pt>
                <c:pt idx="2">
                  <c:v>7892901</c:v>
                </c:pt>
                <c:pt idx="3">
                  <c:v>2869073</c:v>
                </c:pt>
                <c:pt idx="4">
                  <c:v>1210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59-40DE-BDB6-734E81878F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168048239"/>
        <c:axId val="1"/>
        <c:axId val="0"/>
      </c:bar3DChart>
      <c:catAx>
        <c:axId val="1168048239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R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2384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23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RS"/>
          </a:p>
        </c:txPr>
        <c:crossAx val="1168048239"/>
        <c:crosses val="autoZero"/>
        <c:crossBetween val="between"/>
      </c:valAx>
      <c:spPr>
        <a:noFill/>
        <a:ln w="19070">
          <a:noFill/>
        </a:ln>
      </c:spPr>
    </c:plotArea>
    <c:legend>
      <c:legendPos val="r"/>
      <c:layout>
        <c:manualLayout>
          <c:xMode val="edge"/>
          <c:yMode val="edge"/>
          <c:x val="0.37632508833922262"/>
          <c:y val="0.88599348534201949"/>
          <c:w val="0.24028268551236748"/>
          <c:h val="7.8175895765472306E-2"/>
        </c:manualLayout>
      </c:layout>
      <c:overlay val="0"/>
      <c:spPr>
        <a:solidFill>
          <a:srgbClr val="FFFFFF"/>
        </a:solidFill>
        <a:ln w="2384">
          <a:solidFill>
            <a:srgbClr val="000000"/>
          </a:solidFill>
          <a:prstDash val="solid"/>
        </a:ln>
      </c:spPr>
      <c:txPr>
        <a:bodyPr/>
        <a:lstStyle/>
        <a:p>
          <a:pPr>
            <a:defRPr sz="69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R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R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084507042253522"/>
          <c:y val="5.9760956175298807E-2"/>
          <c:w val="0.83903420523138827"/>
          <c:h val="0.6015936254980079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Proračun</c:v>
                </c:pt>
              </c:strCache>
            </c:strRef>
          </c:tx>
          <c:spPr>
            <a:solidFill>
              <a:srgbClr val="C0C0C0"/>
            </a:solidFill>
            <a:ln w="9537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Sheet1!$A$2:$A$8</c:f>
              <c:strCache>
                <c:ptCount val="7"/>
                <c:pt idx="0">
                  <c:v>Tekuća pričuva</c:v>
                </c:pt>
                <c:pt idx="1">
                  <c:v>Plaće i naknade</c:v>
                </c:pt>
                <c:pt idx="2">
                  <c:v>Doprinosi poslodavca</c:v>
                </c:pt>
                <c:pt idx="3">
                  <c:v>Materijalni troškovi</c:v>
                </c:pt>
                <c:pt idx="4">
                  <c:v>Tekući i kapitalni grantovi</c:v>
                </c:pt>
                <c:pt idx="5">
                  <c:v>Stalna sredstva</c:v>
                </c:pt>
                <c:pt idx="6">
                  <c:v>Kamate i otplate dugova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560000</c:v>
                </c:pt>
                <c:pt idx="1">
                  <c:v>33113960</c:v>
                </c:pt>
                <c:pt idx="2">
                  <c:v>3299960</c:v>
                </c:pt>
                <c:pt idx="3">
                  <c:v>6956227</c:v>
                </c:pt>
                <c:pt idx="4">
                  <c:v>17654000</c:v>
                </c:pt>
                <c:pt idx="5">
                  <c:v>5434686</c:v>
                </c:pt>
                <c:pt idx="6">
                  <c:v>536660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37-43C1-A8FC-4ECCA4CF7BA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Rebalans</c:v>
                </c:pt>
              </c:strCache>
            </c:strRef>
          </c:tx>
          <c:spPr>
            <a:pattFill prst="dkVert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9537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Sheet1!$A$2:$A$8</c:f>
              <c:strCache>
                <c:ptCount val="7"/>
                <c:pt idx="0">
                  <c:v>Tekuća pričuva</c:v>
                </c:pt>
                <c:pt idx="1">
                  <c:v>Plaće i naknade</c:v>
                </c:pt>
                <c:pt idx="2">
                  <c:v>Doprinosi poslodavca</c:v>
                </c:pt>
                <c:pt idx="3">
                  <c:v>Materijalni troškovi</c:v>
                </c:pt>
                <c:pt idx="4">
                  <c:v>Tekući i kapitalni grantovi</c:v>
                </c:pt>
                <c:pt idx="5">
                  <c:v>Stalna sredstva</c:v>
                </c:pt>
                <c:pt idx="6">
                  <c:v>Kamate i otplate dugova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660000</c:v>
                </c:pt>
                <c:pt idx="1">
                  <c:v>34642440</c:v>
                </c:pt>
                <c:pt idx="2">
                  <c:v>3444220</c:v>
                </c:pt>
                <c:pt idx="3">
                  <c:v>7026150</c:v>
                </c:pt>
                <c:pt idx="4">
                  <c:v>18443500</c:v>
                </c:pt>
                <c:pt idx="5">
                  <c:v>7377960</c:v>
                </c:pt>
                <c:pt idx="6">
                  <c:v>525530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C37-43C1-A8FC-4ECCA4CF7B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54969567"/>
        <c:axId val="1"/>
        <c:axId val="0"/>
      </c:bar3DChart>
      <c:catAx>
        <c:axId val="105496956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4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52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R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2384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23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RS"/>
          </a:p>
        </c:txPr>
        <c:crossAx val="1054969567"/>
        <c:crosses val="autoZero"/>
        <c:crossBetween val="between"/>
      </c:valAx>
      <c:spPr>
        <a:noFill/>
        <a:ln w="19073">
          <a:noFill/>
        </a:ln>
      </c:spPr>
    </c:plotArea>
    <c:legend>
      <c:legendPos val="b"/>
      <c:layout>
        <c:manualLayout>
          <c:xMode val="edge"/>
          <c:yMode val="edge"/>
          <c:x val="0.3762575452716298"/>
          <c:y val="0.90039840637450197"/>
          <c:w val="0.24547283702213279"/>
          <c:h val="8.7649402390438252E-2"/>
        </c:manualLayout>
      </c:layout>
      <c:overlay val="0"/>
      <c:spPr>
        <a:noFill/>
        <a:ln w="2384">
          <a:solidFill>
            <a:srgbClr val="000000"/>
          </a:solidFill>
          <a:prstDash val="solid"/>
        </a:ln>
      </c:spPr>
      <c:txPr>
        <a:bodyPr/>
        <a:lstStyle/>
        <a:p>
          <a:pPr>
            <a:defRPr sz="552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R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01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R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8BEF-1D93-41E1-AB54-0FDE05CB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6802</Words>
  <Characters>38772</Characters>
  <Application>Microsoft Office Word</Application>
  <DocSecurity>0</DocSecurity>
  <Lines>323</Lines>
  <Paragraphs>90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OBRAZLOŽENJE NACRTA PRORAČUNA</vt:lpstr>
      <vt:lpstr>OBRAZLOŽENJE NACRTA PRORAČUNA</vt:lpstr>
    </vt:vector>
  </TitlesOfParts>
  <Company/>
  <LinksUpToDate>false</LinksUpToDate>
  <CharactersWithSpaces>45484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NACRTA PRORAČUNA</dc:title>
  <dc:creator>operater</dc:creator>
  <cp:lastModifiedBy>Vlada Županije Posavske</cp:lastModifiedBy>
  <cp:revision>2</cp:revision>
  <cp:lastPrinted>2024-11-14T11:12:00Z</cp:lastPrinted>
  <dcterms:created xsi:type="dcterms:W3CDTF">2024-11-18T13:07:00Z</dcterms:created>
  <dcterms:modified xsi:type="dcterms:W3CDTF">2024-11-18T13:07:00Z</dcterms:modified>
</cp:coreProperties>
</file>