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33FE6" w14:textId="77777777" w:rsidR="00CA1958" w:rsidRPr="00316CD9" w:rsidRDefault="00CA1958">
      <w:pPr>
        <w:pStyle w:val="Naslov"/>
        <w:rPr>
          <w:sz w:val="28"/>
        </w:rPr>
      </w:pPr>
      <w:r w:rsidRPr="00316CD9">
        <w:rPr>
          <w:sz w:val="28"/>
        </w:rPr>
        <w:t>BOSNA I HERCEGOVINA</w:t>
      </w:r>
    </w:p>
    <w:p w14:paraId="2BB71048" w14:textId="77777777" w:rsidR="00CA1958" w:rsidRPr="00316CD9" w:rsidRDefault="00CA1958">
      <w:pPr>
        <w:pStyle w:val="Naslov"/>
        <w:rPr>
          <w:sz w:val="28"/>
        </w:rPr>
      </w:pPr>
      <w:r w:rsidRPr="00316CD9">
        <w:rPr>
          <w:sz w:val="28"/>
        </w:rPr>
        <w:t>FEDERACIJA BOSNE I HERCEGOVINE</w:t>
      </w:r>
    </w:p>
    <w:p w14:paraId="28F856B3" w14:textId="77777777" w:rsidR="00CA1958" w:rsidRPr="00316CD9" w:rsidRDefault="00CA1958">
      <w:pPr>
        <w:pStyle w:val="Naslov"/>
        <w:rPr>
          <w:sz w:val="28"/>
        </w:rPr>
      </w:pPr>
      <w:r w:rsidRPr="00316CD9">
        <w:rPr>
          <w:sz w:val="28"/>
        </w:rPr>
        <w:t>ŽUPANIJA POSAVSKA</w:t>
      </w:r>
    </w:p>
    <w:p w14:paraId="5A22E1E0" w14:textId="77777777" w:rsidR="00CA1958" w:rsidRPr="00316CD9" w:rsidRDefault="00163E89">
      <w:pPr>
        <w:pStyle w:val="Naslov"/>
        <w:rPr>
          <w:sz w:val="28"/>
        </w:rPr>
      </w:pPr>
      <w:r w:rsidRPr="00316CD9">
        <w:rPr>
          <w:sz w:val="28"/>
        </w:rPr>
        <w:t>S K U P Š T I N A</w:t>
      </w:r>
    </w:p>
    <w:p w14:paraId="074027D8" w14:textId="77777777" w:rsidR="00CA1958" w:rsidRPr="00316CD9" w:rsidRDefault="00CA1958">
      <w:pPr>
        <w:pStyle w:val="Naslov"/>
        <w:rPr>
          <w:sz w:val="28"/>
        </w:rPr>
      </w:pPr>
    </w:p>
    <w:p w14:paraId="4345384D" w14:textId="77777777" w:rsidR="00CA1958" w:rsidRPr="00316CD9" w:rsidRDefault="00CA1958">
      <w:pPr>
        <w:pStyle w:val="Naslov"/>
        <w:rPr>
          <w:sz w:val="28"/>
        </w:rPr>
      </w:pPr>
    </w:p>
    <w:p w14:paraId="518DA99A" w14:textId="77777777" w:rsidR="00CA1958" w:rsidRPr="00316CD9" w:rsidRDefault="00CA1958">
      <w:pPr>
        <w:pStyle w:val="Naslov"/>
        <w:rPr>
          <w:sz w:val="28"/>
        </w:rPr>
      </w:pPr>
    </w:p>
    <w:p w14:paraId="42B06BA9" w14:textId="77777777" w:rsidR="00CA1958" w:rsidRPr="00316CD9" w:rsidRDefault="00CA1958">
      <w:pPr>
        <w:pStyle w:val="Naslov"/>
        <w:rPr>
          <w:sz w:val="28"/>
        </w:rPr>
      </w:pPr>
    </w:p>
    <w:p w14:paraId="051F0FC2" w14:textId="77777777" w:rsidR="00CA1958" w:rsidRPr="00316CD9" w:rsidRDefault="00CA1958">
      <w:pPr>
        <w:pStyle w:val="Naslov"/>
        <w:rPr>
          <w:sz w:val="28"/>
        </w:rPr>
      </w:pPr>
    </w:p>
    <w:p w14:paraId="13AC4565" w14:textId="77777777" w:rsidR="00CA1958" w:rsidRPr="00316CD9" w:rsidRDefault="00CA1958">
      <w:pPr>
        <w:pStyle w:val="Naslov"/>
        <w:rPr>
          <w:sz w:val="28"/>
        </w:rPr>
      </w:pPr>
    </w:p>
    <w:p w14:paraId="52EEE4D8" w14:textId="77777777" w:rsidR="00CA1958" w:rsidRPr="00316CD9" w:rsidRDefault="00CA1958">
      <w:pPr>
        <w:pStyle w:val="Naslov"/>
        <w:rPr>
          <w:sz w:val="28"/>
        </w:rPr>
      </w:pPr>
    </w:p>
    <w:p w14:paraId="31CE124E" w14:textId="77777777" w:rsidR="00CA1958" w:rsidRPr="00316CD9" w:rsidRDefault="00CA1958">
      <w:pPr>
        <w:pStyle w:val="Naslov"/>
        <w:rPr>
          <w:sz w:val="28"/>
        </w:rPr>
      </w:pPr>
    </w:p>
    <w:p w14:paraId="49A0FA06" w14:textId="77777777" w:rsidR="00CA1958" w:rsidRPr="00316CD9" w:rsidRDefault="00CA1958">
      <w:pPr>
        <w:pStyle w:val="Naslov"/>
        <w:rPr>
          <w:sz w:val="28"/>
        </w:rPr>
      </w:pPr>
    </w:p>
    <w:p w14:paraId="3FA4A128" w14:textId="77777777" w:rsidR="00CA1958" w:rsidRPr="00316CD9" w:rsidRDefault="00CA1958">
      <w:pPr>
        <w:pStyle w:val="Naslov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44"/>
        <w:gridCol w:w="7139"/>
      </w:tblGrid>
      <w:tr w:rsidR="00CA1958" w:rsidRPr="00316CD9" w14:paraId="56CE46A8" w14:textId="77777777">
        <w:tc>
          <w:tcPr>
            <w:tcW w:w="2268" w:type="dxa"/>
            <w:shd w:val="clear" w:color="auto" w:fill="404040"/>
          </w:tcPr>
          <w:p w14:paraId="29C7415E" w14:textId="205E0258" w:rsidR="00CA1958" w:rsidRPr="00316CD9" w:rsidRDefault="00CA1958" w:rsidP="00C4204A">
            <w:pPr>
              <w:pStyle w:val="Naslov"/>
              <w:rPr>
                <w:color w:val="FFFFFF"/>
                <w:sz w:val="72"/>
              </w:rPr>
            </w:pPr>
            <w:r w:rsidRPr="00316CD9">
              <w:rPr>
                <w:color w:val="FFFFFF"/>
                <w:sz w:val="72"/>
              </w:rPr>
              <w:t>20</w:t>
            </w:r>
            <w:r w:rsidR="00C756C2" w:rsidRPr="00316CD9">
              <w:rPr>
                <w:color w:val="FFFFFF"/>
                <w:sz w:val="72"/>
              </w:rPr>
              <w:t>2</w:t>
            </w:r>
            <w:r w:rsidR="00A345F7" w:rsidRPr="00316CD9">
              <w:rPr>
                <w:color w:val="FFFFFF"/>
                <w:sz w:val="72"/>
              </w:rPr>
              <w:t>5</w:t>
            </w:r>
          </w:p>
        </w:tc>
        <w:tc>
          <w:tcPr>
            <w:tcW w:w="7331" w:type="dxa"/>
          </w:tcPr>
          <w:p w14:paraId="5C2371B6" w14:textId="77777777" w:rsidR="00CA1958" w:rsidRPr="00316CD9" w:rsidRDefault="00CA1958">
            <w:pPr>
              <w:pStyle w:val="Naslov"/>
              <w:rPr>
                <w:sz w:val="28"/>
              </w:rPr>
            </w:pPr>
          </w:p>
        </w:tc>
      </w:tr>
      <w:tr w:rsidR="00CA1958" w:rsidRPr="00316CD9" w14:paraId="1081F9F0" w14:textId="77777777">
        <w:trPr>
          <w:trHeight w:val="1418"/>
        </w:trPr>
        <w:tc>
          <w:tcPr>
            <w:tcW w:w="2268" w:type="dxa"/>
            <w:vAlign w:val="center"/>
          </w:tcPr>
          <w:p w14:paraId="42797851" w14:textId="77777777" w:rsidR="00CA1958" w:rsidRPr="00316CD9" w:rsidRDefault="00CA1958">
            <w:pPr>
              <w:pStyle w:val="Naslov"/>
              <w:rPr>
                <w:sz w:val="28"/>
              </w:rPr>
            </w:pPr>
          </w:p>
        </w:tc>
        <w:tc>
          <w:tcPr>
            <w:tcW w:w="7331" w:type="dxa"/>
            <w:shd w:val="clear" w:color="auto" w:fill="CCCCCC"/>
            <w:vAlign w:val="center"/>
          </w:tcPr>
          <w:p w14:paraId="49099ABC" w14:textId="50C71AE6" w:rsidR="00CA1958" w:rsidRPr="00316CD9" w:rsidRDefault="00CA1958" w:rsidP="00C4204A">
            <w:pPr>
              <w:pStyle w:val="Naslov"/>
              <w:rPr>
                <w:sz w:val="28"/>
              </w:rPr>
            </w:pPr>
            <w:r w:rsidRPr="00316CD9">
              <w:rPr>
                <w:sz w:val="28"/>
              </w:rPr>
              <w:t xml:space="preserve">OBRAZLOŽENJE PRORAČUNA ŽUPANIJE POSAVSKE ZA </w:t>
            </w:r>
            <w:r w:rsidR="00C4204A" w:rsidRPr="00316CD9">
              <w:rPr>
                <w:sz w:val="28"/>
              </w:rPr>
              <w:t>202</w:t>
            </w:r>
            <w:r w:rsidR="00A345F7" w:rsidRPr="00316CD9">
              <w:rPr>
                <w:sz w:val="28"/>
              </w:rPr>
              <w:t>5</w:t>
            </w:r>
            <w:r w:rsidRPr="00316CD9">
              <w:rPr>
                <w:sz w:val="28"/>
              </w:rPr>
              <w:t>. GODINU</w:t>
            </w:r>
          </w:p>
        </w:tc>
      </w:tr>
    </w:tbl>
    <w:p w14:paraId="655E2548" w14:textId="77777777" w:rsidR="00CA1958" w:rsidRPr="00316CD9" w:rsidRDefault="00CA1958">
      <w:pPr>
        <w:pStyle w:val="Naslov"/>
        <w:rPr>
          <w:sz w:val="28"/>
        </w:rPr>
      </w:pPr>
    </w:p>
    <w:p w14:paraId="67C924BA" w14:textId="77777777" w:rsidR="00CA1958" w:rsidRPr="00316CD9" w:rsidRDefault="00CA1958">
      <w:pPr>
        <w:pStyle w:val="Naslov"/>
        <w:rPr>
          <w:sz w:val="28"/>
        </w:rPr>
      </w:pPr>
    </w:p>
    <w:p w14:paraId="2A92F127" w14:textId="77777777" w:rsidR="00CA1958" w:rsidRPr="00316CD9" w:rsidRDefault="00CA1958">
      <w:pPr>
        <w:pStyle w:val="Naslov"/>
        <w:rPr>
          <w:sz w:val="28"/>
        </w:rPr>
      </w:pPr>
    </w:p>
    <w:p w14:paraId="623A2920" w14:textId="77777777" w:rsidR="00CA1958" w:rsidRPr="00316CD9" w:rsidRDefault="00CA1958">
      <w:pPr>
        <w:pStyle w:val="Naslov"/>
        <w:rPr>
          <w:sz w:val="28"/>
        </w:rPr>
      </w:pPr>
    </w:p>
    <w:p w14:paraId="6C48A729" w14:textId="77777777" w:rsidR="00CA1958" w:rsidRPr="00316CD9" w:rsidRDefault="00CA1958">
      <w:pPr>
        <w:pStyle w:val="Naslov"/>
        <w:rPr>
          <w:sz w:val="28"/>
        </w:rPr>
      </w:pPr>
    </w:p>
    <w:p w14:paraId="3A41B75F" w14:textId="77777777" w:rsidR="00CA1958" w:rsidRPr="00316CD9" w:rsidRDefault="00CA1958">
      <w:pPr>
        <w:pStyle w:val="Naslov"/>
        <w:rPr>
          <w:sz w:val="28"/>
        </w:rPr>
      </w:pPr>
    </w:p>
    <w:p w14:paraId="06248B83" w14:textId="77777777" w:rsidR="00CA1958" w:rsidRPr="00316CD9" w:rsidRDefault="00CA1958">
      <w:pPr>
        <w:pStyle w:val="Naslov"/>
        <w:rPr>
          <w:sz w:val="28"/>
        </w:rPr>
      </w:pPr>
    </w:p>
    <w:p w14:paraId="4308C574" w14:textId="77777777" w:rsidR="00CA1958" w:rsidRPr="00316CD9" w:rsidRDefault="00CA1958">
      <w:pPr>
        <w:pStyle w:val="Naslov"/>
        <w:rPr>
          <w:sz w:val="28"/>
        </w:rPr>
      </w:pPr>
    </w:p>
    <w:p w14:paraId="428BDB11" w14:textId="77777777" w:rsidR="00CA1958" w:rsidRPr="00316CD9" w:rsidRDefault="00CA1958">
      <w:pPr>
        <w:pStyle w:val="Naslov"/>
        <w:rPr>
          <w:sz w:val="28"/>
        </w:rPr>
      </w:pPr>
    </w:p>
    <w:p w14:paraId="0A5FF28C" w14:textId="77777777" w:rsidR="00CA1958" w:rsidRPr="00316CD9" w:rsidRDefault="00CA1958">
      <w:pPr>
        <w:pStyle w:val="Naslov"/>
        <w:rPr>
          <w:sz w:val="28"/>
        </w:rPr>
      </w:pPr>
    </w:p>
    <w:p w14:paraId="1DE89065" w14:textId="77777777" w:rsidR="00CA1958" w:rsidRPr="00316CD9" w:rsidRDefault="00CA1958">
      <w:pPr>
        <w:pStyle w:val="Naslov"/>
        <w:rPr>
          <w:sz w:val="28"/>
        </w:rPr>
      </w:pPr>
    </w:p>
    <w:p w14:paraId="7DF83A9E" w14:textId="77777777" w:rsidR="00CA1958" w:rsidRPr="00316CD9" w:rsidRDefault="00CA1958">
      <w:pPr>
        <w:pStyle w:val="Naslov"/>
        <w:rPr>
          <w:sz w:val="28"/>
        </w:rPr>
      </w:pPr>
    </w:p>
    <w:p w14:paraId="36EDCDFD" w14:textId="77777777" w:rsidR="00CA1958" w:rsidRPr="00316CD9" w:rsidRDefault="00CA1958">
      <w:pPr>
        <w:pStyle w:val="Naslov"/>
        <w:rPr>
          <w:sz w:val="28"/>
        </w:rPr>
      </w:pPr>
    </w:p>
    <w:p w14:paraId="5C042FDC" w14:textId="77777777" w:rsidR="00CA1958" w:rsidRPr="00316CD9" w:rsidRDefault="00CA1958">
      <w:pPr>
        <w:pStyle w:val="Naslov"/>
        <w:rPr>
          <w:sz w:val="28"/>
        </w:rPr>
      </w:pPr>
    </w:p>
    <w:p w14:paraId="27ACF9AB" w14:textId="77777777" w:rsidR="00CA1958" w:rsidRPr="00316CD9" w:rsidRDefault="00CA1958">
      <w:pPr>
        <w:pStyle w:val="Naslov"/>
        <w:rPr>
          <w:sz w:val="28"/>
        </w:rPr>
      </w:pPr>
    </w:p>
    <w:p w14:paraId="31F2DA6E" w14:textId="77777777" w:rsidR="00CA1958" w:rsidRPr="00316CD9" w:rsidRDefault="00CA1958">
      <w:pPr>
        <w:pStyle w:val="Naslov"/>
        <w:rPr>
          <w:sz w:val="28"/>
        </w:rPr>
      </w:pPr>
    </w:p>
    <w:p w14:paraId="4CB28879" w14:textId="77777777" w:rsidR="00CA1958" w:rsidRPr="00316CD9" w:rsidRDefault="00CA1958">
      <w:pPr>
        <w:pStyle w:val="Naslov"/>
        <w:rPr>
          <w:sz w:val="28"/>
        </w:rPr>
      </w:pPr>
    </w:p>
    <w:p w14:paraId="782A73FA" w14:textId="77777777" w:rsidR="00CA1958" w:rsidRPr="00316CD9" w:rsidRDefault="00CA1958">
      <w:pPr>
        <w:pStyle w:val="Naslov"/>
        <w:rPr>
          <w:sz w:val="28"/>
        </w:rPr>
      </w:pPr>
    </w:p>
    <w:p w14:paraId="0FB03EDA" w14:textId="2E53EE9D" w:rsidR="00CA1958" w:rsidRPr="00316CD9" w:rsidRDefault="00163E89">
      <w:pPr>
        <w:jc w:val="center"/>
        <w:rPr>
          <w:b/>
          <w:bCs/>
          <w:sz w:val="28"/>
          <w:lang w:val="hr-HR"/>
        </w:rPr>
      </w:pPr>
      <w:r w:rsidRPr="00316CD9">
        <w:rPr>
          <w:sz w:val="28"/>
          <w:lang w:val="hr-HR"/>
        </w:rPr>
        <w:t>Domaljevac</w:t>
      </w:r>
      <w:r w:rsidR="00CA1958" w:rsidRPr="00316CD9">
        <w:rPr>
          <w:sz w:val="28"/>
          <w:lang w:val="hr-HR"/>
        </w:rPr>
        <w:t xml:space="preserve">, prosinac </w:t>
      </w:r>
      <w:r w:rsidR="00A345F7" w:rsidRPr="00316CD9">
        <w:rPr>
          <w:sz w:val="28"/>
          <w:lang w:val="hr-HR"/>
        </w:rPr>
        <w:t>2024</w:t>
      </w:r>
      <w:r w:rsidR="00CA1958" w:rsidRPr="00316CD9">
        <w:rPr>
          <w:sz w:val="28"/>
          <w:lang w:val="hr-HR"/>
        </w:rPr>
        <w:t>. godine</w:t>
      </w:r>
      <w:r w:rsidR="00CA1958" w:rsidRPr="00316CD9">
        <w:rPr>
          <w:sz w:val="28"/>
          <w:lang w:val="hr-HR"/>
        </w:rPr>
        <w:br w:type="page"/>
      </w:r>
    </w:p>
    <w:tbl>
      <w:tblPr>
        <w:tblW w:w="0" w:type="auto"/>
        <w:tblLook w:val="0000" w:firstRow="0" w:lastRow="0" w:firstColumn="0" w:lastColumn="0" w:noHBand="0" w:noVBand="0"/>
      </w:tblPr>
      <w:tblGrid>
        <w:gridCol w:w="817"/>
        <w:gridCol w:w="8566"/>
      </w:tblGrid>
      <w:tr w:rsidR="00CA1958" w:rsidRPr="00316CD9" w14:paraId="3CD967E1" w14:textId="77777777">
        <w:tc>
          <w:tcPr>
            <w:tcW w:w="828" w:type="dxa"/>
            <w:shd w:val="clear" w:color="auto" w:fill="404040"/>
          </w:tcPr>
          <w:p w14:paraId="7767DC93" w14:textId="77777777" w:rsidR="00CA1958" w:rsidRPr="00316CD9" w:rsidRDefault="00CA1958">
            <w:pPr>
              <w:pStyle w:val="Naslov"/>
              <w:rPr>
                <w:color w:val="FFFFFF"/>
              </w:rPr>
            </w:pPr>
            <w:r w:rsidRPr="00316CD9">
              <w:rPr>
                <w:color w:val="FFFFFF"/>
              </w:rPr>
              <w:lastRenderedPageBreak/>
              <w:t>1.</w:t>
            </w:r>
          </w:p>
        </w:tc>
        <w:tc>
          <w:tcPr>
            <w:tcW w:w="8771" w:type="dxa"/>
          </w:tcPr>
          <w:p w14:paraId="6685FA1F" w14:textId="77777777" w:rsidR="00CA1958" w:rsidRPr="00316CD9" w:rsidRDefault="00CA1958">
            <w:pPr>
              <w:pStyle w:val="Naslov"/>
              <w:jc w:val="left"/>
            </w:pPr>
            <w:r w:rsidRPr="00316CD9">
              <w:t>UVOD</w:t>
            </w:r>
          </w:p>
        </w:tc>
      </w:tr>
    </w:tbl>
    <w:p w14:paraId="7B72FCCC" w14:textId="77777777" w:rsidR="00CA1958" w:rsidRPr="00316CD9" w:rsidRDefault="00CA1958">
      <w:pPr>
        <w:jc w:val="center"/>
        <w:rPr>
          <w:b/>
          <w:bCs/>
          <w:sz w:val="28"/>
          <w:lang w:val="hr-HR"/>
        </w:rPr>
      </w:pPr>
    </w:p>
    <w:p w14:paraId="41F37F52" w14:textId="2A981DB2" w:rsidR="00D85F26" w:rsidRPr="00316CD9" w:rsidRDefault="005B7E52" w:rsidP="00D85F26">
      <w:pPr>
        <w:pStyle w:val="Default"/>
        <w:ind w:firstLine="720"/>
        <w:jc w:val="both"/>
      </w:pPr>
      <w:r w:rsidRPr="00316CD9">
        <w:t xml:space="preserve">Sukladno članku 19. Zakona o proračunima u Federaciji BiH, Ministarstvo financija Županije Posavske je </w:t>
      </w:r>
      <w:r w:rsidR="00354BF9" w:rsidRPr="00316CD9">
        <w:t>polovicom</w:t>
      </w:r>
      <w:r w:rsidRPr="00316CD9">
        <w:t xml:space="preserve"> </w:t>
      </w:r>
      <w:r w:rsidR="00C4204A" w:rsidRPr="00316CD9">
        <w:t>kolovoza</w:t>
      </w:r>
      <w:r w:rsidRPr="00316CD9">
        <w:t xml:space="preserve"> </w:t>
      </w:r>
      <w:r w:rsidR="00354BF9" w:rsidRPr="00316CD9">
        <w:t>2024</w:t>
      </w:r>
      <w:r w:rsidRPr="00316CD9">
        <w:t>. godine, slanjem Proračunske instrukcije br.</w:t>
      </w:r>
      <w:r w:rsidR="003810A2" w:rsidRPr="00316CD9">
        <w:t xml:space="preserve"> </w:t>
      </w:r>
      <w:r w:rsidRPr="00316CD9">
        <w:t xml:space="preserve">2, pokrenulo proces izrade Proračuna Županije Posavske za </w:t>
      </w:r>
      <w:r w:rsidR="00354BF9" w:rsidRPr="00316CD9">
        <w:t>2025</w:t>
      </w:r>
      <w:r w:rsidRPr="00316CD9">
        <w:t xml:space="preserve">. godinu. </w:t>
      </w:r>
      <w:r w:rsidR="00DC2672" w:rsidRPr="00316CD9">
        <w:t xml:space="preserve">Nakon analize i konsolidacije prikupljenih proračunskih zahtjeva, te obavljenih razgovora s predstavnicima proračunskih korisnika, </w:t>
      </w:r>
      <w:r w:rsidRPr="00316CD9">
        <w:t xml:space="preserve">sačinjen je i Vladi Županije Posavske upućen na razmatranje Nacrt Proračuna Županije Posavske za </w:t>
      </w:r>
      <w:r w:rsidR="00354BF9" w:rsidRPr="00316CD9">
        <w:t>2025</w:t>
      </w:r>
      <w:r w:rsidRPr="00316CD9">
        <w:t>. godinu.</w:t>
      </w:r>
      <w:r w:rsidR="00DC2672" w:rsidRPr="00316CD9">
        <w:t xml:space="preserve"> </w:t>
      </w:r>
      <w:r w:rsidRPr="00316CD9">
        <w:t xml:space="preserve">Predsjednik </w:t>
      </w:r>
      <w:r w:rsidR="00DC2672" w:rsidRPr="00316CD9">
        <w:t>Vlad</w:t>
      </w:r>
      <w:r w:rsidRPr="00316CD9">
        <w:t>e</w:t>
      </w:r>
      <w:r w:rsidR="00DC2672" w:rsidRPr="00316CD9">
        <w:t xml:space="preserve"> Županije Posavske</w:t>
      </w:r>
      <w:r w:rsidR="0093124C" w:rsidRPr="00316CD9">
        <w:t>, sukladno članku 32. Zakona o proračunima u Federaciji BiH,</w:t>
      </w:r>
      <w:r w:rsidR="00DC2672" w:rsidRPr="00316CD9">
        <w:t xml:space="preserve"> </w:t>
      </w:r>
      <w:r w:rsidRPr="00316CD9">
        <w:t xml:space="preserve">dostavlja </w:t>
      </w:r>
      <w:r w:rsidR="00354BF9" w:rsidRPr="00316CD9">
        <w:t>Prijedlog</w:t>
      </w:r>
      <w:r w:rsidRPr="00316CD9">
        <w:t xml:space="preserve"> Proračuna Županije Posavske za </w:t>
      </w:r>
      <w:r w:rsidR="00354BF9" w:rsidRPr="00316CD9">
        <w:t>2025</w:t>
      </w:r>
      <w:r w:rsidRPr="00316CD9">
        <w:t>. godinu Skupštini Županije Posavske</w:t>
      </w:r>
      <w:r w:rsidR="0093124C" w:rsidRPr="00316CD9">
        <w:t xml:space="preserve"> na donošenje.</w:t>
      </w:r>
    </w:p>
    <w:p w14:paraId="48D55ED3" w14:textId="4362D552" w:rsidR="00A66BD5" w:rsidRPr="00316CD9" w:rsidRDefault="00354BF9" w:rsidP="00D85F26">
      <w:pPr>
        <w:pStyle w:val="Default"/>
        <w:ind w:firstLine="720"/>
        <w:jc w:val="both"/>
      </w:pPr>
      <w:r w:rsidRPr="00316CD9">
        <w:t xml:space="preserve">U studenom 2024. godine usvojene su Izmjene i dopune Proračuna Županije Posavske za 2024. godinu („Narodne novine Županije Posavske“, broj 15/24) kojim su planirani prihodi, primici i financiranje </w:t>
      </w:r>
      <w:r w:rsidR="00A32137" w:rsidRPr="00316CD9">
        <w:t xml:space="preserve">u ukupnom iznosu od 71.622.480 KM, dok su rashodi i izdaci planirani u iznosu od 72.119.800 KM. Financiranje deficita u iznosu od 497.320 KM planirano je iz akumuliranog suficita iz prethodnih razdoblja, a koji je na dan 31.12.2023. godine iznosio </w:t>
      </w:r>
      <w:r w:rsidR="00C40205" w:rsidRPr="00316CD9">
        <w:rPr>
          <w:bCs/>
        </w:rPr>
        <w:t>1.607.673 KM</w:t>
      </w:r>
      <w:r w:rsidR="00C40205" w:rsidRPr="00316CD9">
        <w:t>.</w:t>
      </w:r>
      <w:r w:rsidR="00A32137" w:rsidRPr="00316CD9">
        <w:t xml:space="preserve"> </w:t>
      </w:r>
      <w:r w:rsidR="00DC2672" w:rsidRPr="00316CD9">
        <w:t>Pr</w:t>
      </w:r>
      <w:r w:rsidR="00C756C2" w:rsidRPr="00316CD9">
        <w:t xml:space="preserve">oračun Županije Posavske za </w:t>
      </w:r>
      <w:r w:rsidRPr="00316CD9">
        <w:t>2025</w:t>
      </w:r>
      <w:r w:rsidR="00DC2672" w:rsidRPr="00316CD9">
        <w:t xml:space="preserve">. godinu </w:t>
      </w:r>
      <w:r w:rsidR="00C756C2" w:rsidRPr="00316CD9">
        <w:t>veći</w:t>
      </w:r>
      <w:r w:rsidR="00F003CF" w:rsidRPr="00316CD9">
        <w:t xml:space="preserve"> je od Proračuna </w:t>
      </w:r>
      <w:r w:rsidR="00DC2672" w:rsidRPr="00316CD9">
        <w:t xml:space="preserve">Županije Posavske </w:t>
      </w:r>
      <w:r w:rsidR="00F003CF" w:rsidRPr="00316CD9">
        <w:t xml:space="preserve">za </w:t>
      </w:r>
      <w:r w:rsidRPr="00316CD9">
        <w:t>2024</w:t>
      </w:r>
      <w:r w:rsidR="00F003CF" w:rsidRPr="00316CD9">
        <w:t>. godinu</w:t>
      </w:r>
      <w:r w:rsidR="00632221" w:rsidRPr="00316CD9">
        <w:t xml:space="preserve"> („Narodne novine Županije Posavske“, broj: </w:t>
      </w:r>
      <w:r w:rsidR="007570B5" w:rsidRPr="00316CD9">
        <w:t>20/2</w:t>
      </w:r>
      <w:r w:rsidRPr="00316CD9">
        <w:t>3</w:t>
      </w:r>
      <w:r w:rsidR="007570B5" w:rsidRPr="00316CD9">
        <w:t xml:space="preserve"> i 1</w:t>
      </w:r>
      <w:r w:rsidRPr="00316CD9">
        <w:t>5</w:t>
      </w:r>
      <w:r w:rsidR="007570B5" w:rsidRPr="00316CD9">
        <w:t>/2</w:t>
      </w:r>
      <w:r w:rsidRPr="00316CD9">
        <w:t>4</w:t>
      </w:r>
      <w:r w:rsidR="00632221" w:rsidRPr="00316CD9">
        <w:t>)</w:t>
      </w:r>
      <w:r w:rsidR="00F003CF" w:rsidRPr="00316CD9">
        <w:t xml:space="preserve"> (promatrajući ukupne prihode, primitke i financiranje</w:t>
      </w:r>
      <w:r w:rsidR="00B4075B" w:rsidRPr="00316CD9">
        <w:t>, kao i rashode i izdatke</w:t>
      </w:r>
      <w:r w:rsidR="00F003CF" w:rsidRPr="00316CD9">
        <w:t xml:space="preserve">) za </w:t>
      </w:r>
      <w:r w:rsidR="00A32137" w:rsidRPr="00316CD9">
        <w:t>0,</w:t>
      </w:r>
      <w:r w:rsidR="00E94494">
        <w:t>47</w:t>
      </w:r>
      <w:r w:rsidR="00F003CF" w:rsidRPr="00316CD9">
        <w:t>%, odnosno u apsolutnom iznosu</w:t>
      </w:r>
      <w:r w:rsidR="00DC2672" w:rsidRPr="00316CD9">
        <w:t xml:space="preserve"> </w:t>
      </w:r>
      <w:r w:rsidR="00C756C2" w:rsidRPr="00316CD9">
        <w:t>veći</w:t>
      </w:r>
      <w:r w:rsidR="00F003CF" w:rsidRPr="00316CD9">
        <w:t xml:space="preserve"> za </w:t>
      </w:r>
      <w:r w:rsidR="00E94494">
        <w:t>3</w:t>
      </w:r>
      <w:r w:rsidR="00D8716F">
        <w:t>38</w:t>
      </w:r>
      <w:r w:rsidR="00AE5AFD" w:rsidRPr="00316CD9">
        <w:t>.550</w:t>
      </w:r>
      <w:r w:rsidR="00F003CF" w:rsidRPr="00316CD9">
        <w:t xml:space="preserve"> KM</w:t>
      </w:r>
      <w:r w:rsidR="00252459" w:rsidRPr="00316CD9">
        <w:t xml:space="preserve">, i iznosi </w:t>
      </w:r>
      <w:r w:rsidR="00AE5AFD" w:rsidRPr="00316CD9">
        <w:t>72.</w:t>
      </w:r>
      <w:r w:rsidR="00E94494">
        <w:t>458</w:t>
      </w:r>
      <w:r w:rsidR="00AE5AFD" w:rsidRPr="00316CD9">
        <w:t>.350</w:t>
      </w:r>
      <w:r w:rsidR="00252459" w:rsidRPr="00316CD9">
        <w:t xml:space="preserve"> KM</w:t>
      </w:r>
      <w:r w:rsidR="00F003CF" w:rsidRPr="00316CD9">
        <w:t xml:space="preserve">. </w:t>
      </w:r>
      <w:r w:rsidR="00B4075B" w:rsidRPr="00316CD9">
        <w:t xml:space="preserve">Obzirom da Proračun Županije Posavske po godišnjim financijskim izvješćima za </w:t>
      </w:r>
      <w:r w:rsidR="007570B5" w:rsidRPr="00316CD9">
        <w:t>202</w:t>
      </w:r>
      <w:r w:rsidR="00A32137" w:rsidRPr="00316CD9">
        <w:t>3</w:t>
      </w:r>
      <w:r w:rsidR="00B4075B" w:rsidRPr="00316CD9">
        <w:t xml:space="preserve">. godinu ima akumulirani suficit, </w:t>
      </w:r>
      <w:r w:rsidR="00D530F3" w:rsidRPr="00316CD9">
        <w:t>ne postoji</w:t>
      </w:r>
      <w:r w:rsidR="00B4075B" w:rsidRPr="00316CD9">
        <w:t xml:space="preserve"> obveza planiranja pozitivnog financijskog rezultata za pokriće dijela akumuliranog deficita, pa su Proračunom za </w:t>
      </w:r>
      <w:r w:rsidR="00AE5AFD" w:rsidRPr="00316CD9">
        <w:t>2025</w:t>
      </w:r>
      <w:r w:rsidR="00B4075B" w:rsidRPr="00316CD9">
        <w:t>. godinu planirani jednaki ukupni iznosi prihoda, primitaka i financiranja, te rashoda i izdataka.</w:t>
      </w:r>
    </w:p>
    <w:p w14:paraId="3CA39AF8" w14:textId="1F0B2648" w:rsidR="00BD4464" w:rsidRPr="00316CD9" w:rsidRDefault="00BD4464" w:rsidP="00D85F26">
      <w:pPr>
        <w:pStyle w:val="Default"/>
        <w:ind w:firstLine="720"/>
        <w:jc w:val="both"/>
      </w:pPr>
      <w:r w:rsidRPr="00316CD9">
        <w:t xml:space="preserve">U okviru Proračuna Županije Posavske za </w:t>
      </w:r>
      <w:r w:rsidR="00AE5AFD" w:rsidRPr="00316CD9">
        <w:t>2025</w:t>
      </w:r>
      <w:r w:rsidRPr="00316CD9">
        <w:t>. godinu planirani su troškovi i izdaci za 3</w:t>
      </w:r>
      <w:r w:rsidR="00AE5AFD" w:rsidRPr="00316CD9">
        <w:t>8</w:t>
      </w:r>
      <w:r w:rsidRPr="00316CD9">
        <w:t xml:space="preserve"> proračunskih korisnika (1</w:t>
      </w:r>
      <w:r w:rsidR="00EC1ADA">
        <w:t>8</w:t>
      </w:r>
      <w:r w:rsidRPr="00316CD9">
        <w:t xml:space="preserve"> razdjela i </w:t>
      </w:r>
      <w:r w:rsidR="001E334F" w:rsidRPr="00316CD9">
        <w:t>2</w:t>
      </w:r>
      <w:r w:rsidR="00EC1ADA">
        <w:t>0</w:t>
      </w:r>
      <w:r w:rsidRPr="00316CD9">
        <w:t xml:space="preserve"> proračunsk</w:t>
      </w:r>
      <w:r w:rsidR="00EC1ADA">
        <w:t>ih</w:t>
      </w:r>
      <w:r w:rsidRPr="00316CD9">
        <w:t xml:space="preserve"> </w:t>
      </w:r>
      <w:r w:rsidR="00BE47F2" w:rsidRPr="00316CD9">
        <w:t>institucija</w:t>
      </w:r>
      <w:r w:rsidR="00C4204A" w:rsidRPr="00316CD9">
        <w:t xml:space="preserve"> i/ili potrošačk</w:t>
      </w:r>
      <w:r w:rsidR="00EC1ADA">
        <w:t>ih</w:t>
      </w:r>
      <w:r w:rsidR="00C4204A" w:rsidRPr="00316CD9">
        <w:t xml:space="preserve"> jedinica)</w:t>
      </w:r>
      <w:r w:rsidRPr="00316CD9">
        <w:t>.</w:t>
      </w:r>
      <w:r w:rsidR="00AE5AFD" w:rsidRPr="00316CD9">
        <w:t xml:space="preserve"> U odnosu na proračunsku 2024. godinu</w:t>
      </w:r>
      <w:r w:rsidR="00AE417A" w:rsidRPr="00316CD9">
        <w:t>,</w:t>
      </w:r>
      <w:r w:rsidR="00AE5AFD" w:rsidRPr="00316CD9">
        <w:t xml:space="preserve"> od 2025. godine kao proračunski korisnik pojavljuje se novoosnovani Ured za borbu protiv korupcije Županije Posavske, potrošačka jedinica razdjela 11</w:t>
      </w:r>
      <w:r w:rsidR="00EC1ADA">
        <w:t xml:space="preserve"> </w:t>
      </w:r>
      <w:r w:rsidR="00AE5AFD" w:rsidRPr="00316CD9">
        <w:t>Vlada Županije Posavske, organizacijski kod 11010007. Dosadašnja potrošačka jedinica razdjela 11</w:t>
      </w:r>
      <w:r w:rsidR="00EC1ADA">
        <w:t xml:space="preserve"> </w:t>
      </w:r>
      <w:r w:rsidR="00AE5AFD" w:rsidRPr="00316CD9">
        <w:t>Vlada Županije Posavske, organizacijski kod 11010005 Ured za razvoj, europske integracije i borbu protiv korupcije Županije Posavske mijenja naziv u Ured za razvoj i europske integracije Županije Posavske.</w:t>
      </w:r>
    </w:p>
    <w:p w14:paraId="6B7CFF85" w14:textId="431CE0A3" w:rsidR="00E46CD1" w:rsidRPr="00316CD9" w:rsidRDefault="00F003CF" w:rsidP="00D85F26">
      <w:pPr>
        <w:pStyle w:val="Default"/>
        <w:ind w:firstLine="720"/>
        <w:jc w:val="both"/>
      </w:pPr>
      <w:r w:rsidRPr="00316CD9">
        <w:t>U pr</w:t>
      </w:r>
      <w:r w:rsidR="00C756C2" w:rsidRPr="00316CD9">
        <w:t xml:space="preserve">oces planiranja Proračuna za </w:t>
      </w:r>
      <w:r w:rsidR="00AE5AFD" w:rsidRPr="00316CD9">
        <w:t>2025</w:t>
      </w:r>
      <w:r w:rsidRPr="00316CD9">
        <w:t>. godinu</w:t>
      </w:r>
      <w:r w:rsidR="00E46CD1" w:rsidRPr="00316CD9">
        <w:t xml:space="preserve"> uzete su </w:t>
      </w:r>
      <w:r w:rsidR="005824CB" w:rsidRPr="00316CD9">
        <w:t xml:space="preserve">u </w:t>
      </w:r>
      <w:r w:rsidR="00E46CD1" w:rsidRPr="00316CD9">
        <w:t>obzir sljedeće pretpostavke:</w:t>
      </w:r>
    </w:p>
    <w:p w14:paraId="356392F1" w14:textId="40C19F7E" w:rsidR="00F003CF" w:rsidRPr="00316CD9" w:rsidRDefault="00DC2672" w:rsidP="00D85F26">
      <w:pPr>
        <w:pStyle w:val="Default"/>
        <w:numPr>
          <w:ilvl w:val="0"/>
          <w:numId w:val="5"/>
        </w:numPr>
        <w:jc w:val="both"/>
      </w:pPr>
      <w:r w:rsidRPr="00316CD9">
        <w:t xml:space="preserve">revidirane </w:t>
      </w:r>
      <w:r w:rsidR="00F003CF" w:rsidRPr="00316CD9">
        <w:t>projekcij</w:t>
      </w:r>
      <w:r w:rsidR="00E46CD1" w:rsidRPr="00316CD9">
        <w:t>e</w:t>
      </w:r>
      <w:r w:rsidR="00F003CF" w:rsidRPr="00316CD9">
        <w:t xml:space="preserve"> Direkcije za ekonomska planiranja i Odjeljenja za makroekonomske analize</w:t>
      </w:r>
      <w:r w:rsidRPr="00316CD9">
        <w:t xml:space="preserve"> iz listopada </w:t>
      </w:r>
      <w:r w:rsidR="00AE5AFD" w:rsidRPr="00316CD9">
        <w:t>2024</w:t>
      </w:r>
      <w:r w:rsidRPr="00316CD9">
        <w:t>. godine</w:t>
      </w:r>
      <w:r w:rsidR="00F003CF" w:rsidRPr="00316CD9">
        <w:t xml:space="preserve">, </w:t>
      </w:r>
      <w:r w:rsidR="00E46CD1" w:rsidRPr="00316CD9">
        <w:t>ukazuju na</w:t>
      </w:r>
      <w:r w:rsidR="00F003CF" w:rsidRPr="00316CD9">
        <w:t xml:space="preserve"> </w:t>
      </w:r>
      <w:r w:rsidR="00852770" w:rsidRPr="00316CD9">
        <w:t>daljnji</w:t>
      </w:r>
      <w:r w:rsidR="0093124C" w:rsidRPr="00316CD9">
        <w:t xml:space="preserve"> rast</w:t>
      </w:r>
      <w:r w:rsidR="00F003CF" w:rsidRPr="00316CD9">
        <w:t xml:space="preserve"> ključne skupine poreznih prihoda</w:t>
      </w:r>
      <w:r w:rsidR="00E46CD1" w:rsidRPr="00316CD9">
        <w:rPr>
          <w:highlight w:val="yellow"/>
        </w:rPr>
        <w:t xml:space="preserve"> </w:t>
      </w:r>
      <w:r w:rsidR="00E46CD1" w:rsidRPr="00316CD9">
        <w:t xml:space="preserve">u </w:t>
      </w:r>
      <w:r w:rsidR="007570B5" w:rsidRPr="00316CD9">
        <w:t>202</w:t>
      </w:r>
      <w:r w:rsidR="008A2D01" w:rsidRPr="00316CD9">
        <w:t>5</w:t>
      </w:r>
      <w:r w:rsidR="00E46CD1" w:rsidRPr="00316CD9">
        <w:t>. godini</w:t>
      </w:r>
      <w:r w:rsidRPr="00316CD9">
        <w:t xml:space="preserve"> u odnosu na </w:t>
      </w:r>
      <w:r w:rsidR="007570B5" w:rsidRPr="00316CD9">
        <w:t>202</w:t>
      </w:r>
      <w:r w:rsidR="008A2D01" w:rsidRPr="00316CD9">
        <w:t>4</w:t>
      </w:r>
      <w:r w:rsidRPr="00316CD9">
        <w:t>. godinu</w:t>
      </w:r>
      <w:r w:rsidR="00732B4B" w:rsidRPr="00316CD9">
        <w:t xml:space="preserve"> – očekuje se da će izvršenje </w:t>
      </w:r>
      <w:r w:rsidR="00CA1408" w:rsidRPr="00316CD9">
        <w:t xml:space="preserve">ukupnih </w:t>
      </w:r>
      <w:r w:rsidR="00732B4B" w:rsidRPr="00316CD9">
        <w:t xml:space="preserve">poreznih prihoda u </w:t>
      </w:r>
      <w:r w:rsidR="008A2D01" w:rsidRPr="00316CD9">
        <w:t>2025</w:t>
      </w:r>
      <w:r w:rsidR="00732B4B" w:rsidRPr="00316CD9">
        <w:t xml:space="preserve">. godini biti </w:t>
      </w:r>
      <w:r w:rsidR="0093124C" w:rsidRPr="00316CD9">
        <w:t>veće</w:t>
      </w:r>
      <w:r w:rsidR="00732B4B" w:rsidRPr="00316CD9">
        <w:t xml:space="preserve"> od poreznih prihoda planiranih </w:t>
      </w:r>
      <w:r w:rsidR="00252459" w:rsidRPr="00316CD9">
        <w:t xml:space="preserve">Proračunom Županije Posavske za </w:t>
      </w:r>
      <w:r w:rsidR="008A2D01" w:rsidRPr="00316CD9">
        <w:t>2024</w:t>
      </w:r>
      <w:r w:rsidR="00732B4B" w:rsidRPr="00316CD9">
        <w:t xml:space="preserve">. godinu za </w:t>
      </w:r>
      <w:r w:rsidR="00077C21" w:rsidRPr="00316CD9">
        <w:t>6,</w:t>
      </w:r>
      <w:r w:rsidR="00BF382C">
        <w:t>66</w:t>
      </w:r>
      <w:r w:rsidR="00732B4B" w:rsidRPr="00316CD9">
        <w:t>%,</w:t>
      </w:r>
      <w:r w:rsidR="00252459" w:rsidRPr="00316CD9">
        <w:t xml:space="preserve"> odnosno u apsolutnom iznosu </w:t>
      </w:r>
      <w:r w:rsidR="0093124C" w:rsidRPr="00316CD9">
        <w:t>veći</w:t>
      </w:r>
      <w:r w:rsidR="00252459" w:rsidRPr="00316CD9">
        <w:t xml:space="preserve"> za </w:t>
      </w:r>
      <w:r w:rsidR="00980A32" w:rsidRPr="00316CD9">
        <w:t xml:space="preserve">oko </w:t>
      </w:r>
      <w:r w:rsidR="00077C21" w:rsidRPr="00316CD9">
        <w:t xml:space="preserve">3,8 milijuna </w:t>
      </w:r>
      <w:r w:rsidR="00252459" w:rsidRPr="00316CD9">
        <w:t xml:space="preserve"> KM;</w:t>
      </w:r>
    </w:p>
    <w:p w14:paraId="48090AAE" w14:textId="3ED41F0F" w:rsidR="00E46CD1" w:rsidRPr="00316CD9" w:rsidRDefault="00E46CD1" w:rsidP="00D85F26">
      <w:pPr>
        <w:pStyle w:val="Default"/>
        <w:numPr>
          <w:ilvl w:val="0"/>
          <w:numId w:val="5"/>
        </w:numPr>
        <w:jc w:val="both"/>
      </w:pPr>
      <w:r w:rsidRPr="00316CD9">
        <w:t xml:space="preserve">ostvarenje neporeznih prihoda će biti </w:t>
      </w:r>
      <w:r w:rsidR="003A3A06" w:rsidRPr="00316CD9">
        <w:t>manje</w:t>
      </w:r>
      <w:r w:rsidRPr="00316CD9">
        <w:t xml:space="preserve"> nego u </w:t>
      </w:r>
      <w:r w:rsidR="003A3A06" w:rsidRPr="00316CD9">
        <w:t>2024</w:t>
      </w:r>
      <w:r w:rsidRPr="00316CD9">
        <w:t>. godini, obzirom na njihovu povezanost s namjenskom potrošnjom i analizom njihovo</w:t>
      </w:r>
      <w:r w:rsidR="00732B4B" w:rsidRPr="00316CD9">
        <w:t>g kretanja u proteklih 5 godina – očekuje se da će iz</w:t>
      </w:r>
      <w:r w:rsidR="00CA1408" w:rsidRPr="00316CD9">
        <w:t xml:space="preserve">vršenje neporeznih prihoda u </w:t>
      </w:r>
      <w:r w:rsidR="003A3A06" w:rsidRPr="00316CD9">
        <w:t>2025</w:t>
      </w:r>
      <w:r w:rsidR="00732B4B" w:rsidRPr="00316CD9">
        <w:t xml:space="preserve">. godini biti </w:t>
      </w:r>
      <w:r w:rsidR="003A3A06" w:rsidRPr="00316CD9">
        <w:t>manje</w:t>
      </w:r>
      <w:r w:rsidR="00732B4B" w:rsidRPr="00316CD9">
        <w:t xml:space="preserve"> od neporeznih prihoda planiranih </w:t>
      </w:r>
      <w:r w:rsidR="00252459" w:rsidRPr="00316CD9">
        <w:t xml:space="preserve">Proračunom Županije Posavske za </w:t>
      </w:r>
      <w:r w:rsidR="003A3A06" w:rsidRPr="00316CD9">
        <w:t>2024</w:t>
      </w:r>
      <w:r w:rsidR="00732B4B" w:rsidRPr="00316CD9">
        <w:t xml:space="preserve">. godinu za </w:t>
      </w:r>
      <w:r w:rsidR="001273C6">
        <w:t>6,35</w:t>
      </w:r>
      <w:r w:rsidR="00732B4B" w:rsidRPr="00316CD9">
        <w:t>%,</w:t>
      </w:r>
      <w:r w:rsidR="00252459" w:rsidRPr="00316CD9">
        <w:t xml:space="preserve"> odnosno </w:t>
      </w:r>
      <w:r w:rsidR="00F2770F" w:rsidRPr="00316CD9">
        <w:t>manje</w:t>
      </w:r>
      <w:r w:rsidR="00852770" w:rsidRPr="00316CD9">
        <w:t xml:space="preserve"> </w:t>
      </w:r>
      <w:r w:rsidR="00252459" w:rsidRPr="00316CD9">
        <w:t xml:space="preserve">za </w:t>
      </w:r>
      <w:r w:rsidR="001273C6">
        <w:t>247</w:t>
      </w:r>
      <w:r w:rsidR="00721D33">
        <w:t>.</w:t>
      </w:r>
      <w:r w:rsidR="001273C6">
        <w:t>38</w:t>
      </w:r>
      <w:r w:rsidR="00721D33">
        <w:t>4</w:t>
      </w:r>
      <w:r w:rsidR="00252459" w:rsidRPr="00316CD9">
        <w:t xml:space="preserve"> KM;</w:t>
      </w:r>
    </w:p>
    <w:p w14:paraId="1DEB9AF7" w14:textId="37E10335" w:rsidR="00E46CD1" w:rsidRPr="00316CD9" w:rsidRDefault="00E46CD1" w:rsidP="00D85F26">
      <w:pPr>
        <w:pStyle w:val="Default"/>
        <w:numPr>
          <w:ilvl w:val="0"/>
          <w:numId w:val="5"/>
        </w:numPr>
        <w:jc w:val="both"/>
      </w:pPr>
      <w:r w:rsidRPr="00316CD9">
        <w:t>tekuće i kapitalne potpore će i dalje izravno ovisiti o angažmanu resornih ministarstava i/ili Vlade Županije Posavske u izradi adekvatnih projektnih rješenja i njihovom apliciranju kod viših razina vlasti, inozemnih vl</w:t>
      </w:r>
      <w:r w:rsidR="00732B4B" w:rsidRPr="00316CD9">
        <w:t>ada i međunarodnih organizacija</w:t>
      </w:r>
      <w:r w:rsidR="00852770" w:rsidRPr="00316CD9">
        <w:t xml:space="preserve"> </w:t>
      </w:r>
      <w:r w:rsidR="00732B4B" w:rsidRPr="00316CD9">
        <w:t>– u odnosu na Proračun</w:t>
      </w:r>
      <w:r w:rsidR="00252459" w:rsidRPr="00316CD9">
        <w:t xml:space="preserve"> Županije Posavske</w:t>
      </w:r>
      <w:r w:rsidR="00732B4B" w:rsidRPr="00316CD9">
        <w:t xml:space="preserve"> za </w:t>
      </w:r>
      <w:r w:rsidR="00C800F3" w:rsidRPr="00316CD9">
        <w:t>2024</w:t>
      </w:r>
      <w:r w:rsidR="00732B4B" w:rsidRPr="00316CD9">
        <w:t xml:space="preserve">. godinu plan za </w:t>
      </w:r>
      <w:r w:rsidR="00C800F3" w:rsidRPr="00316CD9">
        <w:t>2025</w:t>
      </w:r>
      <w:r w:rsidR="00732B4B" w:rsidRPr="00316CD9">
        <w:t xml:space="preserve">. godinu je </w:t>
      </w:r>
      <w:r w:rsidR="00165227" w:rsidRPr="00316CD9">
        <w:t>manji</w:t>
      </w:r>
      <w:r w:rsidR="00732B4B" w:rsidRPr="00316CD9">
        <w:t xml:space="preserve"> za </w:t>
      </w:r>
      <w:r w:rsidR="007B2055" w:rsidRPr="00316CD9">
        <w:t>25,</w:t>
      </w:r>
      <w:r w:rsidR="00040A2E" w:rsidRPr="00316CD9">
        <w:t>19</w:t>
      </w:r>
      <w:r w:rsidR="00252459" w:rsidRPr="00316CD9">
        <w:t xml:space="preserve">%, odnosno </w:t>
      </w:r>
      <w:r w:rsidR="00165227" w:rsidRPr="00316CD9">
        <w:t>manji</w:t>
      </w:r>
      <w:r w:rsidR="00252459" w:rsidRPr="00316CD9">
        <w:t xml:space="preserve"> za </w:t>
      </w:r>
      <w:r w:rsidR="007B2055" w:rsidRPr="00316CD9">
        <w:t xml:space="preserve">oko </w:t>
      </w:r>
      <w:r w:rsidR="00DF5651" w:rsidRPr="00316CD9">
        <w:t>2,7 milijuna</w:t>
      </w:r>
      <w:r w:rsidR="00252459" w:rsidRPr="00316CD9">
        <w:t xml:space="preserve"> KM.</w:t>
      </w:r>
    </w:p>
    <w:p w14:paraId="5A43367A" w14:textId="77777777" w:rsidR="00031A14" w:rsidRDefault="00031A14" w:rsidP="00581DC1">
      <w:pPr>
        <w:pStyle w:val="Default"/>
        <w:spacing w:after="120"/>
        <w:ind w:firstLine="720"/>
        <w:jc w:val="both"/>
      </w:pPr>
    </w:p>
    <w:p w14:paraId="5B1A81B0" w14:textId="77777777" w:rsidR="00031A14" w:rsidRDefault="00031A14" w:rsidP="00581DC1">
      <w:pPr>
        <w:pStyle w:val="Default"/>
        <w:spacing w:after="120"/>
        <w:ind w:firstLine="720"/>
        <w:jc w:val="both"/>
      </w:pPr>
    </w:p>
    <w:p w14:paraId="35D33BB2" w14:textId="5F8DB9B7" w:rsidR="00E46CD1" w:rsidRPr="00316CD9" w:rsidRDefault="00E46CD1" w:rsidP="00581DC1">
      <w:pPr>
        <w:pStyle w:val="Default"/>
        <w:spacing w:after="120"/>
        <w:ind w:firstLine="720"/>
        <w:jc w:val="both"/>
      </w:pPr>
      <w:r w:rsidRPr="00316CD9">
        <w:lastRenderedPageBreak/>
        <w:t xml:space="preserve">Sa svim navedenim u vidu, sačinjen je Proračun </w:t>
      </w:r>
      <w:r w:rsidR="00732B4B" w:rsidRPr="00316CD9">
        <w:t xml:space="preserve">za </w:t>
      </w:r>
      <w:r w:rsidR="00DF5651" w:rsidRPr="00316CD9">
        <w:t>2025</w:t>
      </w:r>
      <w:r w:rsidR="00732B4B" w:rsidRPr="00316CD9">
        <w:t xml:space="preserve">. godinu </w:t>
      </w:r>
      <w:r w:rsidRPr="00316CD9">
        <w:t>sa sljedećim ključnim značajkama:</w:t>
      </w:r>
    </w:p>
    <w:p w14:paraId="03A5FF19" w14:textId="22B9568A" w:rsidR="00F27815" w:rsidRPr="00316CD9" w:rsidRDefault="00E46CD1" w:rsidP="00D63FFB">
      <w:pPr>
        <w:numPr>
          <w:ilvl w:val="0"/>
          <w:numId w:val="5"/>
        </w:numPr>
        <w:jc w:val="both"/>
        <w:rPr>
          <w:lang w:val="hr-HR"/>
        </w:rPr>
      </w:pPr>
      <w:r w:rsidRPr="00316CD9">
        <w:rPr>
          <w:lang w:val="hr-HR"/>
        </w:rPr>
        <w:t>B</w:t>
      </w:r>
      <w:r w:rsidR="00CA1958" w:rsidRPr="00316CD9">
        <w:rPr>
          <w:lang w:val="hr-HR"/>
        </w:rPr>
        <w:t>ruto plać</w:t>
      </w:r>
      <w:r w:rsidRPr="00316CD9">
        <w:rPr>
          <w:lang w:val="hr-HR"/>
        </w:rPr>
        <w:t>e</w:t>
      </w:r>
      <w:r w:rsidR="00CA1958" w:rsidRPr="00316CD9">
        <w:rPr>
          <w:lang w:val="hr-HR"/>
        </w:rPr>
        <w:t xml:space="preserve"> i naknad</w:t>
      </w:r>
      <w:r w:rsidRPr="00316CD9">
        <w:rPr>
          <w:lang w:val="hr-HR"/>
        </w:rPr>
        <w:t>e</w:t>
      </w:r>
      <w:r w:rsidR="00CA1958" w:rsidRPr="00316CD9">
        <w:rPr>
          <w:lang w:val="hr-HR"/>
        </w:rPr>
        <w:t xml:space="preserve"> plaća, te naknad</w:t>
      </w:r>
      <w:r w:rsidR="00CA1408" w:rsidRPr="00316CD9">
        <w:rPr>
          <w:lang w:val="hr-HR"/>
        </w:rPr>
        <w:t>e</w:t>
      </w:r>
      <w:r w:rsidR="00CA1958" w:rsidRPr="00316CD9">
        <w:rPr>
          <w:lang w:val="hr-HR"/>
        </w:rPr>
        <w:t xml:space="preserve"> troškova zaposlenih </w:t>
      </w:r>
      <w:r w:rsidR="00252459" w:rsidRPr="00316CD9">
        <w:rPr>
          <w:lang w:val="hr-HR"/>
        </w:rPr>
        <w:t>povećavaju</w:t>
      </w:r>
      <w:r w:rsidRPr="00316CD9">
        <w:rPr>
          <w:lang w:val="hr-HR"/>
        </w:rPr>
        <w:t xml:space="preserve"> se za</w:t>
      </w:r>
      <w:r w:rsidR="00CA1958" w:rsidRPr="00316CD9">
        <w:rPr>
          <w:lang w:val="hr-HR"/>
        </w:rPr>
        <w:t xml:space="preserve"> </w:t>
      </w:r>
      <w:r w:rsidR="0062597A" w:rsidRPr="00316CD9">
        <w:rPr>
          <w:lang w:val="hr-HR"/>
        </w:rPr>
        <w:t>3,58</w:t>
      </w:r>
      <w:r w:rsidR="00CA1958" w:rsidRPr="00316CD9">
        <w:rPr>
          <w:lang w:val="hr-HR"/>
        </w:rPr>
        <w:t xml:space="preserve">% u odnosu na </w:t>
      </w:r>
      <w:r w:rsidR="0062597A" w:rsidRPr="00316CD9">
        <w:rPr>
          <w:lang w:val="hr-HR"/>
        </w:rPr>
        <w:t>2024</w:t>
      </w:r>
      <w:r w:rsidR="001E58B6" w:rsidRPr="00316CD9">
        <w:rPr>
          <w:lang w:val="hr-HR"/>
        </w:rPr>
        <w:t>. godinu</w:t>
      </w:r>
      <w:r w:rsidR="00CA1408" w:rsidRPr="00316CD9">
        <w:rPr>
          <w:lang w:val="hr-HR"/>
        </w:rPr>
        <w:t xml:space="preserve">, dok će se doprinosi poslodavca povećati za </w:t>
      </w:r>
      <w:r w:rsidR="0062597A" w:rsidRPr="00316CD9">
        <w:rPr>
          <w:lang w:val="hr-HR"/>
        </w:rPr>
        <w:t>3,33</w:t>
      </w:r>
      <w:r w:rsidR="00CA1408" w:rsidRPr="00316CD9">
        <w:rPr>
          <w:lang w:val="hr-HR"/>
        </w:rPr>
        <w:t>% u odnosu na prethodnu godinu</w:t>
      </w:r>
      <w:r w:rsidR="00EB76E5" w:rsidRPr="00316CD9">
        <w:rPr>
          <w:lang w:val="hr-HR"/>
        </w:rPr>
        <w:t>.</w:t>
      </w:r>
      <w:r w:rsidR="00B02068" w:rsidRPr="00316CD9">
        <w:rPr>
          <w:lang w:val="hr-HR"/>
        </w:rPr>
        <w:t xml:space="preserve"> </w:t>
      </w:r>
    </w:p>
    <w:p w14:paraId="123816FC" w14:textId="46FE98F9" w:rsidR="00CA1958" w:rsidRPr="00316CD9" w:rsidRDefault="00CA1958" w:rsidP="00D63FFB">
      <w:pPr>
        <w:pStyle w:val="Default"/>
        <w:numPr>
          <w:ilvl w:val="0"/>
          <w:numId w:val="5"/>
        </w:numPr>
        <w:jc w:val="both"/>
      </w:pPr>
      <w:r w:rsidRPr="00316CD9">
        <w:t>Materijalni troškovi</w:t>
      </w:r>
      <w:r w:rsidR="00CA1408" w:rsidRPr="00316CD9">
        <w:t xml:space="preserve"> proračunskih korisnika će u </w:t>
      </w:r>
      <w:r w:rsidR="0062597A" w:rsidRPr="00316CD9">
        <w:t>2025</w:t>
      </w:r>
      <w:r w:rsidRPr="00316CD9">
        <w:t xml:space="preserve">. godini </w:t>
      </w:r>
      <w:r w:rsidR="00732B4B" w:rsidRPr="00316CD9">
        <w:t xml:space="preserve">biti </w:t>
      </w:r>
      <w:r w:rsidR="00CA1408" w:rsidRPr="00316CD9">
        <w:t>veći nego u</w:t>
      </w:r>
      <w:r w:rsidR="0083585D" w:rsidRPr="00316CD9">
        <w:t xml:space="preserve"> </w:t>
      </w:r>
      <w:r w:rsidR="0062597A" w:rsidRPr="00316CD9">
        <w:t>2024</w:t>
      </w:r>
      <w:r w:rsidRPr="00316CD9">
        <w:t>. godin</w:t>
      </w:r>
      <w:r w:rsidR="00E46CD1" w:rsidRPr="00316CD9">
        <w:t xml:space="preserve">i za </w:t>
      </w:r>
      <w:r w:rsidR="00A25806" w:rsidRPr="00316CD9">
        <w:t>3,39</w:t>
      </w:r>
      <w:r w:rsidR="00CA1408" w:rsidRPr="00316CD9">
        <w:t>%</w:t>
      </w:r>
      <w:r w:rsidR="00165227" w:rsidRPr="00316CD9">
        <w:t xml:space="preserve"> ili veći za </w:t>
      </w:r>
      <w:r w:rsidR="00A25806" w:rsidRPr="00316CD9">
        <w:t>238.150</w:t>
      </w:r>
      <w:r w:rsidR="00165227" w:rsidRPr="00316CD9">
        <w:t xml:space="preserve"> KM</w:t>
      </w:r>
      <w:r w:rsidR="00F27815" w:rsidRPr="00316CD9">
        <w:t>.</w:t>
      </w:r>
    </w:p>
    <w:p w14:paraId="0CD67E2B" w14:textId="734C6BAA" w:rsidR="00CA1958" w:rsidRPr="00316CD9" w:rsidRDefault="00E46CD1" w:rsidP="00D63FFB">
      <w:pPr>
        <w:pStyle w:val="Default"/>
        <w:numPr>
          <w:ilvl w:val="0"/>
          <w:numId w:val="5"/>
        </w:numPr>
        <w:jc w:val="both"/>
      </w:pPr>
      <w:r w:rsidRPr="00316CD9">
        <w:t xml:space="preserve">Tekući grantovi će </w:t>
      </w:r>
      <w:r w:rsidR="005779FD" w:rsidRPr="00316CD9">
        <w:t>uglavnom ostati na razini planiranog</w:t>
      </w:r>
      <w:r w:rsidRPr="00316CD9">
        <w:t xml:space="preserve"> </w:t>
      </w:r>
      <w:r w:rsidR="005779FD" w:rsidRPr="00316CD9">
        <w:t>z</w:t>
      </w:r>
      <w:r w:rsidRPr="00316CD9">
        <w:t xml:space="preserve">a </w:t>
      </w:r>
      <w:r w:rsidR="00A25806" w:rsidRPr="00316CD9">
        <w:t>2024</w:t>
      </w:r>
      <w:r w:rsidRPr="00316CD9">
        <w:t>. godinu (</w:t>
      </w:r>
      <w:r w:rsidR="005779FD" w:rsidRPr="00316CD9">
        <w:t xml:space="preserve">neznatno </w:t>
      </w:r>
      <w:r w:rsidR="005B581F">
        <w:t>povećanje</w:t>
      </w:r>
      <w:r w:rsidRPr="00316CD9">
        <w:t xml:space="preserve"> </w:t>
      </w:r>
      <w:r w:rsidR="005779FD" w:rsidRPr="00316CD9">
        <w:t>od</w:t>
      </w:r>
      <w:r w:rsidRPr="00316CD9">
        <w:t xml:space="preserve"> </w:t>
      </w:r>
      <w:r w:rsidR="00342CD1">
        <w:t>1,01</w:t>
      </w:r>
      <w:r w:rsidR="001E58B6" w:rsidRPr="00316CD9">
        <w:t>%</w:t>
      </w:r>
      <w:r w:rsidR="00165227" w:rsidRPr="00316CD9">
        <w:t xml:space="preserve"> ili </w:t>
      </w:r>
      <w:r w:rsidR="00342CD1">
        <w:t>povećanje</w:t>
      </w:r>
      <w:r w:rsidR="00CB7205" w:rsidRPr="00316CD9">
        <w:t xml:space="preserve"> za</w:t>
      </w:r>
      <w:r w:rsidR="00165227" w:rsidRPr="00316CD9">
        <w:t xml:space="preserve"> </w:t>
      </w:r>
      <w:r w:rsidR="00342CD1">
        <w:t>168.970</w:t>
      </w:r>
      <w:r w:rsidR="00165227" w:rsidRPr="00316CD9">
        <w:t xml:space="preserve"> KM</w:t>
      </w:r>
      <w:r w:rsidR="001E58B6" w:rsidRPr="00316CD9">
        <w:t>)</w:t>
      </w:r>
      <w:r w:rsidR="004B182B" w:rsidRPr="00316CD9">
        <w:t xml:space="preserve">, </w:t>
      </w:r>
      <w:r w:rsidR="00342CD1">
        <w:t xml:space="preserve">dok će se </w:t>
      </w:r>
      <w:r w:rsidR="004B182B" w:rsidRPr="00316CD9">
        <w:t>kapitaln</w:t>
      </w:r>
      <w:r w:rsidR="00223BF5">
        <w:t>i</w:t>
      </w:r>
      <w:r w:rsidR="004B182B" w:rsidRPr="00316CD9">
        <w:t xml:space="preserve"> grantov</w:t>
      </w:r>
      <w:r w:rsidR="00223BF5">
        <w:t>i</w:t>
      </w:r>
      <w:r w:rsidR="004B182B" w:rsidRPr="00316CD9">
        <w:t xml:space="preserve"> u </w:t>
      </w:r>
      <w:r w:rsidR="004C3D03" w:rsidRPr="00316CD9">
        <w:t>2025</w:t>
      </w:r>
      <w:r w:rsidR="004B182B" w:rsidRPr="00316CD9">
        <w:t xml:space="preserve">. godini u odnosu na </w:t>
      </w:r>
      <w:r w:rsidR="005A366D" w:rsidRPr="00316CD9">
        <w:t>2024</w:t>
      </w:r>
      <w:r w:rsidR="004B182B" w:rsidRPr="00316CD9">
        <w:t xml:space="preserve">. godinu </w:t>
      </w:r>
      <w:r w:rsidR="00342CD1">
        <w:t>smanjiti</w:t>
      </w:r>
      <w:r w:rsidR="005A366D" w:rsidRPr="00316CD9">
        <w:t xml:space="preserve"> </w:t>
      </w:r>
      <w:r w:rsidR="00342CD1">
        <w:t>za</w:t>
      </w:r>
      <w:r w:rsidR="005A366D" w:rsidRPr="00316CD9">
        <w:t xml:space="preserve"> </w:t>
      </w:r>
      <w:r w:rsidR="00D25EE9" w:rsidRPr="00316CD9">
        <w:t>2,29</w:t>
      </w:r>
      <w:r w:rsidR="0083585D" w:rsidRPr="00316CD9">
        <w:t>%</w:t>
      </w:r>
      <w:r w:rsidR="00165227" w:rsidRPr="00316CD9">
        <w:t xml:space="preserve"> ili za </w:t>
      </w:r>
      <w:r w:rsidR="00D25EE9" w:rsidRPr="00316CD9">
        <w:t>40</w:t>
      </w:r>
      <w:r w:rsidR="00E924C2" w:rsidRPr="00316CD9">
        <w:t>.000 KM</w:t>
      </w:r>
      <w:r w:rsidR="004B182B" w:rsidRPr="00316CD9">
        <w:t xml:space="preserve">. </w:t>
      </w:r>
    </w:p>
    <w:p w14:paraId="1BB2E914" w14:textId="78F8E344" w:rsidR="00581DC1" w:rsidRPr="00316CD9" w:rsidRDefault="00581DC1" w:rsidP="00D63FFB">
      <w:pPr>
        <w:pStyle w:val="Default"/>
        <w:numPr>
          <w:ilvl w:val="0"/>
          <w:numId w:val="5"/>
        </w:numPr>
        <w:jc w:val="both"/>
      </w:pPr>
      <w:r w:rsidRPr="00316CD9">
        <w:t xml:space="preserve">Izdaci za kamate i otplate dugova u </w:t>
      </w:r>
      <w:r w:rsidR="00D25EE9" w:rsidRPr="00316CD9">
        <w:t>2025</w:t>
      </w:r>
      <w:r w:rsidRPr="00316CD9">
        <w:t xml:space="preserve">. godini </w:t>
      </w:r>
      <w:r w:rsidR="00F27815" w:rsidRPr="00316CD9">
        <w:t>planirani su</w:t>
      </w:r>
      <w:r w:rsidR="001E58B6" w:rsidRPr="00316CD9">
        <w:t xml:space="preserve"> sukladno otplatnim planovima</w:t>
      </w:r>
      <w:r w:rsidRPr="00316CD9">
        <w:t xml:space="preserve"> </w:t>
      </w:r>
      <w:r w:rsidR="001E58B6" w:rsidRPr="00316CD9">
        <w:t xml:space="preserve">postojećih kreditnih zaduženja. U ovom segmentu primjenjuje se oprezniji pristup zbog neizvjesnosti u kretanju tečaja </w:t>
      </w:r>
      <w:r w:rsidR="00F27815" w:rsidRPr="00316CD9">
        <w:t>konvertibilne marke</w:t>
      </w:r>
      <w:r w:rsidR="001E58B6" w:rsidRPr="00316CD9">
        <w:t xml:space="preserve"> i korejskog wona tijekom </w:t>
      </w:r>
      <w:r w:rsidR="00D25EE9" w:rsidRPr="00316CD9">
        <w:t>2025</w:t>
      </w:r>
      <w:r w:rsidR="001E58B6" w:rsidRPr="00316CD9">
        <w:t>. godine</w:t>
      </w:r>
      <w:r w:rsidR="00E924C2" w:rsidRPr="00316CD9">
        <w:rPr>
          <w:szCs w:val="22"/>
        </w:rPr>
        <w:t xml:space="preserve">, pa se za navedene namjene u </w:t>
      </w:r>
      <w:r w:rsidR="00D25EE9" w:rsidRPr="00316CD9">
        <w:rPr>
          <w:szCs w:val="22"/>
        </w:rPr>
        <w:t>2025</w:t>
      </w:r>
      <w:r w:rsidR="00E924C2" w:rsidRPr="00316CD9">
        <w:rPr>
          <w:szCs w:val="22"/>
        </w:rPr>
        <w:t xml:space="preserve">. godini planira ukupno </w:t>
      </w:r>
      <w:r w:rsidR="00C81BE1" w:rsidRPr="00316CD9">
        <w:rPr>
          <w:szCs w:val="22"/>
        </w:rPr>
        <w:t>533</w:t>
      </w:r>
      <w:r w:rsidR="00E924C2" w:rsidRPr="00316CD9">
        <w:rPr>
          <w:szCs w:val="22"/>
        </w:rPr>
        <w:t>.</w:t>
      </w:r>
      <w:r w:rsidR="00C81BE1" w:rsidRPr="00316CD9">
        <w:rPr>
          <w:szCs w:val="22"/>
        </w:rPr>
        <w:t>20</w:t>
      </w:r>
      <w:r w:rsidR="00E924C2" w:rsidRPr="00316CD9">
        <w:rPr>
          <w:szCs w:val="22"/>
        </w:rPr>
        <w:t>0 KM.</w:t>
      </w:r>
      <w:r w:rsidR="004B182B" w:rsidRPr="00316CD9">
        <w:rPr>
          <w:szCs w:val="22"/>
        </w:rPr>
        <w:t xml:space="preserve"> </w:t>
      </w:r>
    </w:p>
    <w:p w14:paraId="39A4533F" w14:textId="0B090D44" w:rsidR="00B02068" w:rsidRPr="00316CD9" w:rsidRDefault="00B02068" w:rsidP="00D63FFB">
      <w:pPr>
        <w:pStyle w:val="Default"/>
        <w:numPr>
          <w:ilvl w:val="0"/>
          <w:numId w:val="5"/>
        </w:numPr>
        <w:jc w:val="both"/>
      </w:pPr>
      <w:r w:rsidRPr="00316CD9">
        <w:t xml:space="preserve">Izdaci za nabavku stalnih sredstava će se u </w:t>
      </w:r>
      <w:r w:rsidR="00C81BE1" w:rsidRPr="00316CD9">
        <w:t>2025</w:t>
      </w:r>
      <w:r w:rsidRPr="00316CD9">
        <w:t xml:space="preserve">. godini </w:t>
      </w:r>
      <w:r w:rsidR="00581DC1" w:rsidRPr="00316CD9">
        <w:t xml:space="preserve">u </w:t>
      </w:r>
      <w:r w:rsidRPr="00316CD9">
        <w:t xml:space="preserve">odnosu na </w:t>
      </w:r>
      <w:r w:rsidR="00C81BE1" w:rsidRPr="00316CD9">
        <w:t>2024</w:t>
      </w:r>
      <w:r w:rsidR="00581DC1" w:rsidRPr="00316CD9">
        <w:t>. godinu</w:t>
      </w:r>
      <w:r w:rsidR="001E58B6" w:rsidRPr="00316CD9">
        <w:t xml:space="preserve"> </w:t>
      </w:r>
      <w:r w:rsidR="00E924C2" w:rsidRPr="00316CD9">
        <w:t>smanjiti</w:t>
      </w:r>
      <w:r w:rsidR="001E58B6" w:rsidRPr="00316CD9">
        <w:t xml:space="preserve"> za </w:t>
      </w:r>
      <w:r w:rsidR="003F37F8" w:rsidRPr="00316CD9">
        <w:t>15,07</w:t>
      </w:r>
      <w:r w:rsidR="001E58B6" w:rsidRPr="00316CD9">
        <w:t>%</w:t>
      </w:r>
      <w:r w:rsidR="00E924C2" w:rsidRPr="00316CD9">
        <w:t xml:space="preserve"> ili </w:t>
      </w:r>
      <w:r w:rsidR="003F37F8" w:rsidRPr="00316CD9">
        <w:t xml:space="preserve">smanjiti </w:t>
      </w:r>
      <w:r w:rsidR="00E924C2" w:rsidRPr="00316CD9">
        <w:t xml:space="preserve">za </w:t>
      </w:r>
      <w:r w:rsidR="0044712A" w:rsidRPr="00316CD9">
        <w:t>oko 1,1 milijun</w:t>
      </w:r>
      <w:r w:rsidR="00E924C2" w:rsidRPr="00316CD9">
        <w:t xml:space="preserve"> KM</w:t>
      </w:r>
      <w:r w:rsidRPr="00316CD9">
        <w:t xml:space="preserve">. </w:t>
      </w:r>
    </w:p>
    <w:p w14:paraId="701A6D74" w14:textId="77777777" w:rsidR="00082F7E" w:rsidRPr="00316CD9" w:rsidRDefault="00082F7E">
      <w:pPr>
        <w:jc w:val="both"/>
        <w:rPr>
          <w:lang w:val="hr-HR"/>
        </w:rPr>
      </w:pPr>
    </w:p>
    <w:p w14:paraId="40E5E59D" w14:textId="77777777" w:rsidR="00082F7E" w:rsidRPr="00316CD9" w:rsidRDefault="00082F7E">
      <w:pPr>
        <w:jc w:val="both"/>
        <w:rPr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6"/>
        <w:gridCol w:w="8567"/>
      </w:tblGrid>
      <w:tr w:rsidR="00CA1958" w:rsidRPr="00316CD9" w14:paraId="42637368" w14:textId="77777777">
        <w:tc>
          <w:tcPr>
            <w:tcW w:w="828" w:type="dxa"/>
            <w:shd w:val="clear" w:color="auto" w:fill="404040"/>
          </w:tcPr>
          <w:p w14:paraId="4EA69638" w14:textId="77777777" w:rsidR="00CA1958" w:rsidRPr="00316CD9" w:rsidRDefault="00CA1958">
            <w:pPr>
              <w:pStyle w:val="Naslov"/>
              <w:rPr>
                <w:color w:val="FFFFFF"/>
              </w:rPr>
            </w:pPr>
            <w:r w:rsidRPr="00316CD9">
              <w:rPr>
                <w:color w:val="FFFFFF"/>
              </w:rPr>
              <w:t>2.</w:t>
            </w:r>
          </w:p>
        </w:tc>
        <w:tc>
          <w:tcPr>
            <w:tcW w:w="8771" w:type="dxa"/>
          </w:tcPr>
          <w:p w14:paraId="67DDC88B" w14:textId="77777777" w:rsidR="00CA1958" w:rsidRPr="00316CD9" w:rsidRDefault="00CA1958" w:rsidP="002044A9">
            <w:pPr>
              <w:pStyle w:val="Naslov"/>
              <w:jc w:val="left"/>
            </w:pPr>
            <w:r w:rsidRPr="00316CD9">
              <w:t xml:space="preserve">PRAVNI </w:t>
            </w:r>
            <w:r w:rsidR="002044A9" w:rsidRPr="00316CD9">
              <w:t>TEMELJ</w:t>
            </w:r>
          </w:p>
        </w:tc>
      </w:tr>
    </w:tbl>
    <w:p w14:paraId="7C4F40BB" w14:textId="77777777" w:rsidR="00CA1958" w:rsidRPr="00316CD9" w:rsidRDefault="00CA1958">
      <w:pPr>
        <w:jc w:val="both"/>
        <w:rPr>
          <w:b/>
          <w:bCs/>
          <w:lang w:val="hr-HR"/>
        </w:rPr>
      </w:pPr>
    </w:p>
    <w:p w14:paraId="077351FA" w14:textId="19869307" w:rsidR="00CA1958" w:rsidRPr="00316CD9" w:rsidRDefault="00CA1958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Ustavni temelj za donošenje Proračuna Županije </w:t>
      </w:r>
      <w:r w:rsidR="004B182B" w:rsidRPr="00316CD9">
        <w:rPr>
          <w:lang w:val="hr-HR"/>
        </w:rPr>
        <w:t xml:space="preserve">Posavske za </w:t>
      </w:r>
      <w:r w:rsidR="0044712A" w:rsidRPr="00316CD9">
        <w:rPr>
          <w:lang w:val="hr-HR"/>
        </w:rPr>
        <w:t>2025</w:t>
      </w:r>
      <w:r w:rsidRPr="00316CD9">
        <w:rPr>
          <w:lang w:val="hr-HR"/>
        </w:rPr>
        <w:t>. godinu sadržan je u članku 26.</w:t>
      </w:r>
      <w:r w:rsidR="00A0083B" w:rsidRPr="00316CD9">
        <w:rPr>
          <w:lang w:val="hr-HR"/>
        </w:rPr>
        <w:t xml:space="preserve"> stavak (</w:t>
      </w:r>
      <w:r w:rsidRPr="00316CD9">
        <w:rPr>
          <w:lang w:val="hr-HR"/>
        </w:rPr>
        <w:t xml:space="preserve">1) točka </w:t>
      </w:r>
      <w:r w:rsidR="001C2D55" w:rsidRPr="00316CD9">
        <w:rPr>
          <w:lang w:val="hr-HR"/>
        </w:rPr>
        <w:t>c</w:t>
      </w:r>
      <w:r w:rsidR="00B810FC" w:rsidRPr="00316CD9">
        <w:rPr>
          <w:lang w:val="hr-HR"/>
        </w:rPr>
        <w:t>)</w:t>
      </w:r>
      <w:r w:rsidRPr="00316CD9">
        <w:rPr>
          <w:lang w:val="hr-HR"/>
        </w:rPr>
        <w:t xml:space="preserve"> Ustava Županije Posavske</w:t>
      </w:r>
      <w:r w:rsidR="00B810FC" w:rsidRPr="00316CD9">
        <w:rPr>
          <w:lang w:val="hr-HR"/>
        </w:rPr>
        <w:t xml:space="preserve"> – pročišćeni tekst</w:t>
      </w:r>
      <w:r w:rsidRPr="00316CD9">
        <w:rPr>
          <w:lang w:val="hr-HR"/>
        </w:rPr>
        <w:t xml:space="preserve"> (»Narodne novine Županije Posavske«, broj: </w:t>
      </w:r>
      <w:r w:rsidR="002061F4" w:rsidRPr="00316CD9">
        <w:rPr>
          <w:lang w:val="hr-HR"/>
        </w:rPr>
        <w:t>15/23</w:t>
      </w:r>
      <w:r w:rsidRPr="00316CD9">
        <w:rPr>
          <w:lang w:val="hr-HR"/>
        </w:rPr>
        <w:t xml:space="preserve">) gdje je propisano da Skupština Županije Posavske usvaja Proračun. </w:t>
      </w:r>
    </w:p>
    <w:p w14:paraId="6E1CAA07" w14:textId="7039DCFF" w:rsidR="00CA1958" w:rsidRPr="00316CD9" w:rsidRDefault="00CA1958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Zakonski temelj za donošenje Proračuna Županije Posavske za </w:t>
      </w:r>
      <w:r w:rsidR="00B810FC" w:rsidRPr="00316CD9">
        <w:rPr>
          <w:lang w:val="hr-HR"/>
        </w:rPr>
        <w:t>2025</w:t>
      </w:r>
      <w:r w:rsidRPr="00316CD9">
        <w:rPr>
          <w:lang w:val="hr-HR"/>
        </w:rPr>
        <w:t>. godinu sadržan je u članku 32.(1) Zakona o proračunima u Federaciji Bosne i Hercegovine (»Službene novine Federacije BiH«, broj: 102/13, 9/14, 13/14, 8/15</w:t>
      </w:r>
      <w:r w:rsidR="00DD74F2" w:rsidRPr="00316CD9">
        <w:rPr>
          <w:lang w:val="hr-HR"/>
        </w:rPr>
        <w:t>,</w:t>
      </w:r>
      <w:r w:rsidRPr="00316CD9">
        <w:rPr>
          <w:lang w:val="hr-HR"/>
        </w:rPr>
        <w:t xml:space="preserve"> 91/15</w:t>
      </w:r>
      <w:r w:rsidR="002044A9" w:rsidRPr="00316CD9">
        <w:rPr>
          <w:lang w:val="hr-HR"/>
        </w:rPr>
        <w:t>,</w:t>
      </w:r>
      <w:r w:rsidR="00DD74F2" w:rsidRPr="00316CD9">
        <w:rPr>
          <w:lang w:val="hr-HR"/>
        </w:rPr>
        <w:t xml:space="preserve"> 102/15</w:t>
      </w:r>
      <w:r w:rsidR="001E58B6" w:rsidRPr="00316CD9">
        <w:rPr>
          <w:lang w:val="hr-HR"/>
        </w:rPr>
        <w:t xml:space="preserve">, </w:t>
      </w:r>
      <w:r w:rsidR="002044A9" w:rsidRPr="00316CD9">
        <w:rPr>
          <w:lang w:val="hr-HR"/>
        </w:rPr>
        <w:t>104/16</w:t>
      </w:r>
      <w:r w:rsidR="004B182B" w:rsidRPr="00316CD9">
        <w:rPr>
          <w:lang w:val="hr-HR"/>
        </w:rPr>
        <w:t>,</w:t>
      </w:r>
      <w:r w:rsidR="001E58B6" w:rsidRPr="00316CD9">
        <w:rPr>
          <w:lang w:val="hr-HR"/>
        </w:rPr>
        <w:t xml:space="preserve"> 5/18</w:t>
      </w:r>
      <w:r w:rsidR="005655B8" w:rsidRPr="00316CD9">
        <w:rPr>
          <w:lang w:val="hr-HR"/>
        </w:rPr>
        <w:t>.</w:t>
      </w:r>
      <w:r w:rsidR="004B182B" w:rsidRPr="00316CD9">
        <w:rPr>
          <w:lang w:val="hr-HR"/>
        </w:rPr>
        <w:t xml:space="preserve"> 11/19</w:t>
      </w:r>
      <w:r w:rsidR="00C4204A" w:rsidRPr="00316CD9">
        <w:rPr>
          <w:lang w:val="hr-HR"/>
        </w:rPr>
        <w:t>,</w:t>
      </w:r>
      <w:r w:rsidR="005655B8" w:rsidRPr="00316CD9">
        <w:rPr>
          <w:lang w:val="hr-HR"/>
        </w:rPr>
        <w:t xml:space="preserve"> 99/19</w:t>
      </w:r>
      <w:r w:rsidR="00C4204A" w:rsidRPr="00316CD9">
        <w:rPr>
          <w:lang w:val="hr-HR"/>
        </w:rPr>
        <w:t xml:space="preserve"> i 25a/22</w:t>
      </w:r>
      <w:r w:rsidRPr="00316CD9">
        <w:rPr>
          <w:lang w:val="hr-HR"/>
        </w:rPr>
        <w:t>).</w:t>
      </w:r>
    </w:p>
    <w:p w14:paraId="5CB3AFF3" w14:textId="1BACE912" w:rsidR="00CA1958" w:rsidRPr="00316CD9" w:rsidRDefault="00CA1958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Prilikom izrade Proračuna Županije Posavske za </w:t>
      </w:r>
      <w:r w:rsidR="00B810FC" w:rsidRPr="00316CD9">
        <w:rPr>
          <w:lang w:val="hr-HR"/>
        </w:rPr>
        <w:t>2025</w:t>
      </w:r>
      <w:r w:rsidRPr="00316CD9">
        <w:rPr>
          <w:lang w:val="hr-HR"/>
        </w:rPr>
        <w:t>. godinu osobito su uzete u obzir odredbe:</w:t>
      </w:r>
    </w:p>
    <w:p w14:paraId="782A2C53" w14:textId="77777777" w:rsidR="005A778B" w:rsidRPr="00316CD9" w:rsidRDefault="005A778B" w:rsidP="005A778B">
      <w:pPr>
        <w:numPr>
          <w:ilvl w:val="0"/>
          <w:numId w:val="2"/>
        </w:numPr>
        <w:jc w:val="both"/>
        <w:rPr>
          <w:lang w:val="hr-HR"/>
        </w:rPr>
      </w:pPr>
      <w:r w:rsidRPr="00316CD9">
        <w:rPr>
          <w:lang w:val="hr-HR"/>
        </w:rPr>
        <w:t>Zakona o državnim službenicima i namještenicima u tijelima državne službe u Županiji Posavskoj («Narodne novine Županije Posavske», broj: 9/13, 11/13, 2/14 i 6/17),</w:t>
      </w:r>
    </w:p>
    <w:p w14:paraId="04F36AA3" w14:textId="77777777" w:rsidR="005A778B" w:rsidRPr="00316CD9" w:rsidRDefault="005A778B" w:rsidP="005A778B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316CD9">
        <w:rPr>
          <w:color w:val="auto"/>
        </w:rPr>
        <w:t>Zakona o plaćama i naknadama u tijelima vlasti Županije Posavske („Narodne novine Županije Posavske“, broj: 9/23),</w:t>
      </w:r>
    </w:p>
    <w:p w14:paraId="094E93B5" w14:textId="77777777" w:rsidR="005A778B" w:rsidRPr="00316CD9" w:rsidRDefault="005A778B" w:rsidP="005A778B">
      <w:pPr>
        <w:numPr>
          <w:ilvl w:val="0"/>
          <w:numId w:val="2"/>
        </w:numPr>
        <w:jc w:val="both"/>
        <w:rPr>
          <w:lang w:val="hr-HR"/>
        </w:rPr>
      </w:pPr>
      <w:r w:rsidRPr="00316CD9">
        <w:rPr>
          <w:lang w:val="hr-HR"/>
        </w:rPr>
        <w:t>Zakona o plaćama i drugim naknadama sudaca i tužitelja u Federaciji Bosne i Hercegovine («Službene novine Federacije BiH», broj: 72/05, 22/09, 55/13 i 61/22),</w:t>
      </w:r>
    </w:p>
    <w:p w14:paraId="26854BD7" w14:textId="77777777" w:rsidR="005A778B" w:rsidRPr="00316CD9" w:rsidRDefault="005A778B" w:rsidP="005A778B">
      <w:pPr>
        <w:numPr>
          <w:ilvl w:val="0"/>
          <w:numId w:val="2"/>
        </w:numPr>
        <w:jc w:val="both"/>
        <w:rPr>
          <w:lang w:val="hr-HR"/>
        </w:rPr>
      </w:pPr>
      <w:r w:rsidRPr="00316CD9">
        <w:rPr>
          <w:lang w:val="hr-HR"/>
        </w:rPr>
        <w:t>Uredbe o plaćama, dodacima i naknadama policijskih službenika Županije Posavske («Narodne novine Županije Posavske», broj: 11/14, 7/15, 16/19, 4/22 i 8/23),</w:t>
      </w:r>
    </w:p>
    <w:p w14:paraId="62BB3CB6" w14:textId="77777777" w:rsidR="005A778B" w:rsidRPr="00316CD9" w:rsidRDefault="005A778B" w:rsidP="005A778B">
      <w:pPr>
        <w:numPr>
          <w:ilvl w:val="0"/>
          <w:numId w:val="2"/>
        </w:numPr>
        <w:jc w:val="both"/>
        <w:rPr>
          <w:lang w:val="hr-HR"/>
        </w:rPr>
      </w:pPr>
      <w:r w:rsidRPr="00316CD9">
        <w:rPr>
          <w:lang w:val="hr-HR"/>
        </w:rPr>
        <w:t>Uredba o naknadi troškova za prijevoz na posao i sa posla („Narodne novine Županije Posavske“, broj: 13/23),</w:t>
      </w:r>
    </w:p>
    <w:p w14:paraId="44150881" w14:textId="77777777" w:rsidR="005A778B" w:rsidRPr="00316CD9" w:rsidRDefault="005A778B" w:rsidP="005A778B">
      <w:pPr>
        <w:numPr>
          <w:ilvl w:val="0"/>
          <w:numId w:val="2"/>
        </w:numPr>
        <w:jc w:val="both"/>
        <w:rPr>
          <w:lang w:val="hr-HR"/>
        </w:rPr>
      </w:pPr>
      <w:r w:rsidRPr="00316CD9">
        <w:rPr>
          <w:lang w:val="hr-HR"/>
        </w:rPr>
        <w:t>Kolektivnog ugovora za djelatnost osnovnog obrazovanja u Županiji Posavskoj («Narodne novine Županije Posavske», broj: 9/24),</w:t>
      </w:r>
    </w:p>
    <w:p w14:paraId="75F41666" w14:textId="77777777" w:rsidR="005A778B" w:rsidRPr="00316CD9" w:rsidRDefault="005A778B" w:rsidP="005A778B">
      <w:pPr>
        <w:numPr>
          <w:ilvl w:val="0"/>
          <w:numId w:val="2"/>
        </w:numPr>
        <w:jc w:val="both"/>
        <w:rPr>
          <w:lang w:val="hr-HR"/>
        </w:rPr>
      </w:pPr>
      <w:r w:rsidRPr="00316CD9">
        <w:rPr>
          <w:lang w:val="hr-HR"/>
        </w:rPr>
        <w:t xml:space="preserve">Kolektivnog ugovora za djelatnost srednjeg obrazovanja u Županiji Posavskoj («Narodne novine Županije Posavske», broj: 9/24), </w:t>
      </w:r>
    </w:p>
    <w:p w14:paraId="300C4995" w14:textId="77777777" w:rsidR="005A778B" w:rsidRPr="00316CD9" w:rsidRDefault="005A778B" w:rsidP="005A778B">
      <w:pPr>
        <w:numPr>
          <w:ilvl w:val="0"/>
          <w:numId w:val="2"/>
        </w:numPr>
        <w:jc w:val="both"/>
        <w:rPr>
          <w:lang w:val="hr-HR"/>
        </w:rPr>
      </w:pPr>
      <w:r w:rsidRPr="00316CD9">
        <w:rPr>
          <w:lang w:val="hr-HR"/>
        </w:rPr>
        <w:t>Kolektivnog ugovora za službenike organa uprave i sudske vlasti u Federaciji Bosne i Hercegovine („Službene novine Federacije BiH“, broj: 98/23),</w:t>
      </w:r>
    </w:p>
    <w:p w14:paraId="626F9CCA" w14:textId="77777777" w:rsidR="005A778B" w:rsidRPr="00316CD9" w:rsidRDefault="005A778B" w:rsidP="005A778B">
      <w:pPr>
        <w:numPr>
          <w:ilvl w:val="0"/>
          <w:numId w:val="2"/>
        </w:numPr>
        <w:jc w:val="both"/>
        <w:rPr>
          <w:lang w:val="hr-HR"/>
        </w:rPr>
      </w:pPr>
      <w:r w:rsidRPr="00316CD9">
        <w:rPr>
          <w:lang w:val="hr-HR"/>
        </w:rPr>
        <w:t>Kolektivnog ugovora za policijske službenike u Ministarstvu unutarnjih poslova Županije Posavske („Narodne novine Županije Posavske“, broj: 4/22 i 8/24), i</w:t>
      </w:r>
    </w:p>
    <w:p w14:paraId="6EDECC0B" w14:textId="77777777" w:rsidR="005A778B" w:rsidRPr="00316CD9" w:rsidRDefault="005A778B" w:rsidP="005A778B">
      <w:pPr>
        <w:numPr>
          <w:ilvl w:val="0"/>
          <w:numId w:val="2"/>
        </w:numPr>
        <w:jc w:val="both"/>
        <w:rPr>
          <w:lang w:val="hr-HR"/>
        </w:rPr>
      </w:pPr>
      <w:r w:rsidRPr="00316CD9">
        <w:rPr>
          <w:lang w:val="hr-HR"/>
        </w:rPr>
        <w:t>Ostalih zakona i podzakonskih akata koje sprovode resorna ministarstva Vlade Županije Posavske.</w:t>
      </w:r>
    </w:p>
    <w:p w14:paraId="04615E93" w14:textId="77777777" w:rsidR="00C4204A" w:rsidRPr="00316CD9" w:rsidRDefault="00C4204A">
      <w:pPr>
        <w:jc w:val="both"/>
        <w:rPr>
          <w:b/>
          <w:bCs/>
          <w:lang w:val="hr-HR"/>
        </w:rPr>
      </w:pPr>
    </w:p>
    <w:p w14:paraId="2675EC32" w14:textId="77777777" w:rsidR="00C4204A" w:rsidRPr="00316CD9" w:rsidRDefault="00C4204A">
      <w:pPr>
        <w:jc w:val="both"/>
        <w:rPr>
          <w:b/>
          <w:bCs/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4"/>
        <w:gridCol w:w="8569"/>
      </w:tblGrid>
      <w:tr w:rsidR="00CA1958" w:rsidRPr="00316CD9" w14:paraId="05A0B69E" w14:textId="77777777">
        <w:tc>
          <w:tcPr>
            <w:tcW w:w="828" w:type="dxa"/>
            <w:shd w:val="clear" w:color="auto" w:fill="404040"/>
          </w:tcPr>
          <w:p w14:paraId="14F2F5E3" w14:textId="77777777" w:rsidR="00CA1958" w:rsidRPr="00316CD9" w:rsidRDefault="00CA1958">
            <w:pPr>
              <w:pStyle w:val="Naslov"/>
              <w:rPr>
                <w:color w:val="FFFFFF"/>
              </w:rPr>
            </w:pPr>
            <w:r w:rsidRPr="00316CD9">
              <w:rPr>
                <w:color w:val="FFFFFF"/>
              </w:rPr>
              <w:t>3.</w:t>
            </w:r>
          </w:p>
        </w:tc>
        <w:tc>
          <w:tcPr>
            <w:tcW w:w="8771" w:type="dxa"/>
          </w:tcPr>
          <w:p w14:paraId="47CFB006" w14:textId="5C749267" w:rsidR="00CA1958" w:rsidRPr="00316CD9" w:rsidRDefault="00CA1958" w:rsidP="0060280C">
            <w:pPr>
              <w:pStyle w:val="Naslov"/>
              <w:jc w:val="left"/>
            </w:pPr>
            <w:r w:rsidRPr="00BA3257">
              <w:t>MAKROEKONOMSKE PRETPOSTAVKE</w:t>
            </w:r>
          </w:p>
        </w:tc>
      </w:tr>
    </w:tbl>
    <w:p w14:paraId="018A761D" w14:textId="77777777" w:rsidR="00CA1958" w:rsidRPr="00316CD9" w:rsidRDefault="00CA1958">
      <w:pPr>
        <w:jc w:val="both"/>
        <w:rPr>
          <w:b/>
          <w:bCs/>
          <w:lang w:val="hr-HR"/>
        </w:rPr>
      </w:pPr>
    </w:p>
    <w:p w14:paraId="15DFD0DD" w14:textId="25496F64" w:rsidR="007D49FA" w:rsidRPr="007D49FA" w:rsidRDefault="007D49FA" w:rsidP="00790413">
      <w:pPr>
        <w:pStyle w:val="Default"/>
        <w:ind w:firstLine="720"/>
        <w:jc w:val="both"/>
      </w:pPr>
      <w:r w:rsidRPr="007D49FA">
        <w:t>Ekonomska situacija u B</w:t>
      </w:r>
      <w:r w:rsidR="00790413">
        <w:t xml:space="preserve">osni </w:t>
      </w:r>
      <w:r w:rsidRPr="007D49FA">
        <w:t>i</w:t>
      </w:r>
      <w:r w:rsidR="00790413">
        <w:t xml:space="preserve"> </w:t>
      </w:r>
      <w:r w:rsidRPr="007D49FA">
        <w:t>H</w:t>
      </w:r>
      <w:r w:rsidR="00790413">
        <w:t>ercegovini</w:t>
      </w:r>
      <w:r w:rsidRPr="007D49FA">
        <w:t xml:space="preserve"> tijekom 2024. godine </w:t>
      </w:r>
      <w:r w:rsidR="00612111">
        <w:t>bila je</w:t>
      </w:r>
      <w:r w:rsidRPr="007D49FA">
        <w:t xml:space="preserve"> pod snažnim utjecajem globalnih i regionalnih čimbenika, kao i </w:t>
      </w:r>
      <w:r w:rsidR="00612111">
        <w:t>unutarnjih</w:t>
      </w:r>
      <w:r w:rsidRPr="007D49FA">
        <w:t xml:space="preserve"> strukturnih problema. Očekuje se da će globalna ekonomska stabilnost nastaviti biti pod velikim stresom, osobito zbog energetske krize, inflacijskih pritisaka i neizvjesnosti izazvane geopolitičkim napetostima, uključujući rat u Ukrajini. Ovi </w:t>
      </w:r>
      <w:r w:rsidR="00612111">
        <w:t>čimbenici</w:t>
      </w:r>
      <w:r w:rsidRPr="007D49FA">
        <w:t xml:space="preserve"> će utjecati na vanjsku trgovinu B</w:t>
      </w:r>
      <w:r w:rsidR="00612111">
        <w:t xml:space="preserve">osne </w:t>
      </w:r>
      <w:r w:rsidRPr="007D49FA">
        <w:t>i</w:t>
      </w:r>
      <w:r w:rsidR="00612111">
        <w:t xml:space="preserve"> </w:t>
      </w:r>
      <w:r w:rsidRPr="007D49FA">
        <w:t>H</w:t>
      </w:r>
      <w:r w:rsidR="00612111">
        <w:t>ercegovine</w:t>
      </w:r>
      <w:r w:rsidRPr="007D49FA">
        <w:t xml:space="preserve">, </w:t>
      </w:r>
      <w:r w:rsidR="00612111">
        <w:t>osobito</w:t>
      </w:r>
      <w:r w:rsidRPr="007D49FA">
        <w:t xml:space="preserve"> na izvoz i uvoz energenata, kao i na cijene osnovnih proizvoda.</w:t>
      </w:r>
    </w:p>
    <w:p w14:paraId="465C6D26" w14:textId="41832FEA" w:rsidR="007D49FA" w:rsidRPr="007D49FA" w:rsidRDefault="007D49FA" w:rsidP="0094617B">
      <w:pPr>
        <w:pStyle w:val="Default"/>
        <w:ind w:firstLine="720"/>
        <w:jc w:val="both"/>
      </w:pPr>
      <w:r w:rsidRPr="007D49FA">
        <w:t>Očekivana inflacija za 2024. godinu bit će manja u odnosu na 2023. godinu, ali bi mogla ostati iznad dugoročnog cilja, uglavnom zbog visokih cijena hrane, energije i drugih ključnih inputa. Očekuje se i umjereno povećanje BDP-a, dok bi zaposlenost mogla biti podložna povećanoj volatilnosti, osobito u sektoru industrije i usluga, koji se suočavaju s promjenama u potražnji i investicijama.</w:t>
      </w:r>
    </w:p>
    <w:p w14:paraId="1F141C58" w14:textId="16EFD4E6" w:rsidR="00790413" w:rsidRPr="00790413" w:rsidRDefault="00790413" w:rsidP="00941E4E">
      <w:pPr>
        <w:pStyle w:val="Default"/>
        <w:ind w:firstLine="720"/>
        <w:jc w:val="both"/>
      </w:pPr>
      <w:r w:rsidRPr="00790413">
        <w:t>U 2025. godini, B</w:t>
      </w:r>
      <w:r w:rsidR="0094617B">
        <w:t xml:space="preserve">osna </w:t>
      </w:r>
      <w:r w:rsidRPr="00790413">
        <w:t>i</w:t>
      </w:r>
      <w:r w:rsidR="0094617B">
        <w:t xml:space="preserve"> </w:t>
      </w:r>
      <w:r w:rsidRPr="00790413">
        <w:t>H</w:t>
      </w:r>
      <w:r w:rsidR="0094617B">
        <w:t>ercegovina</w:t>
      </w:r>
      <w:r w:rsidRPr="00790413">
        <w:t xml:space="preserve"> će se suočavati s nekoliko ključnih izazova, ali i prilika koje će oblikovati ekonomsku dinamiku:</w:t>
      </w:r>
    </w:p>
    <w:p w14:paraId="61900E18" w14:textId="77777777" w:rsidR="00790413" w:rsidRPr="00790413" w:rsidRDefault="00790413" w:rsidP="00790413">
      <w:pPr>
        <w:pStyle w:val="Default"/>
        <w:numPr>
          <w:ilvl w:val="0"/>
          <w:numId w:val="15"/>
        </w:numPr>
        <w:jc w:val="both"/>
      </w:pPr>
      <w:r w:rsidRPr="00790413">
        <w:rPr>
          <w:b/>
          <w:bCs/>
        </w:rPr>
        <w:t>Bruto domaći proizvod (BDP)</w:t>
      </w:r>
      <w:r w:rsidRPr="00790413">
        <w:t>: Očekuje se umjereni rast BDP-a, koji će biti vođen privatnim sektorom, posebice sektorima poput usluga, poljoprivrede i tehnologije. Ovaj rast trebao bi biti potaknut stabilizacijom globalnih tržišta, ali i povećanjem domaće potrošnje. BDP bi mogao rasti po stopi od oko 2-3%, što je u skladu s regionalnim prosjekom, pod uvjetom da politička situacija bude stabilna, a unutarnje reforme nastave s implementacijom.</w:t>
      </w:r>
    </w:p>
    <w:p w14:paraId="6E799C69" w14:textId="77777777" w:rsidR="00790413" w:rsidRPr="00790413" w:rsidRDefault="00790413" w:rsidP="00790413">
      <w:pPr>
        <w:pStyle w:val="Default"/>
        <w:numPr>
          <w:ilvl w:val="0"/>
          <w:numId w:val="15"/>
        </w:numPr>
        <w:jc w:val="both"/>
      </w:pPr>
      <w:r w:rsidRPr="00790413">
        <w:rPr>
          <w:b/>
          <w:bCs/>
        </w:rPr>
        <w:t>Inflacija</w:t>
      </w:r>
      <w:r w:rsidRPr="00790413">
        <w:t>: Iako će inflacija u 2025. godini biti niža nego u 2024. godini, očekuje se da će inflacijski pritisci ostati prisutni, osobito na cijene hrane, energije i transporta. Inflacija bi mogla pasti ispod 5%, zahvaljujući stabilizaciji cijena na globalnim tržištima i poboljšanju energetske situacije. Međutim, održavanje inflacije na prihvatljivim razinama bit će izazovno zbog mogućih eksternih šokova.</w:t>
      </w:r>
    </w:p>
    <w:p w14:paraId="4A726559" w14:textId="77777777" w:rsidR="00790413" w:rsidRPr="00790413" w:rsidRDefault="00790413" w:rsidP="00790413">
      <w:pPr>
        <w:pStyle w:val="Default"/>
        <w:numPr>
          <w:ilvl w:val="0"/>
          <w:numId w:val="15"/>
        </w:numPr>
        <w:jc w:val="both"/>
      </w:pPr>
      <w:r w:rsidRPr="00790413">
        <w:rPr>
          <w:b/>
          <w:bCs/>
        </w:rPr>
        <w:t>Zaposlenost i tržište rada</w:t>
      </w:r>
      <w:r w:rsidRPr="00790413">
        <w:t>: Očekuje se daljnje smanjenje stope nezaposlenosti, koja će biti rezultat umjerenog rasta gospodarstva i jačanja sektora usluga i malih poduzeća. Međutim, strukturni problemi, poput nesklada između obrazovnih kvalifikacija i potreba tržišta rada, mogli bi usporiti ovaj proces. I dalje će biti potrebne reforme na polju obrazovanja i zapošljavanja kako bi se stvorili dugoročni uvjeti za rast zaposlenosti.</w:t>
      </w:r>
    </w:p>
    <w:p w14:paraId="21A6F541" w14:textId="14BA6F7F" w:rsidR="00790413" w:rsidRPr="00790413" w:rsidRDefault="00790413" w:rsidP="00790413">
      <w:pPr>
        <w:pStyle w:val="Default"/>
        <w:numPr>
          <w:ilvl w:val="0"/>
          <w:numId w:val="15"/>
        </w:numPr>
        <w:jc w:val="both"/>
      </w:pPr>
      <w:r w:rsidRPr="00790413">
        <w:rPr>
          <w:b/>
          <w:bCs/>
        </w:rPr>
        <w:t>Vanjska trgovina i fiskalna politika</w:t>
      </w:r>
      <w:r w:rsidRPr="00790413">
        <w:t>: B</w:t>
      </w:r>
      <w:r w:rsidR="001F521D">
        <w:t xml:space="preserve">osna </w:t>
      </w:r>
      <w:r w:rsidRPr="00790413">
        <w:t>i</w:t>
      </w:r>
      <w:r w:rsidR="001F521D">
        <w:t xml:space="preserve"> </w:t>
      </w:r>
      <w:r w:rsidRPr="00790413">
        <w:t>H</w:t>
      </w:r>
      <w:r w:rsidR="003554AA">
        <w:t>ercegovina</w:t>
      </w:r>
      <w:r w:rsidRPr="00790413">
        <w:t xml:space="preserve"> će nastaviti s rastom izvoza, posebice prema EU tržištima, no rastući uvoz energenata mogao bi izazvati </w:t>
      </w:r>
      <w:r w:rsidR="001F521D">
        <w:t>neravnotežu</w:t>
      </w:r>
      <w:r w:rsidRPr="00790413">
        <w:t xml:space="preserve"> vanjskotrgovinske bilance. Fiskalna politika će u 2025. godini ostati pod velikim opterećenjem zbog potrebe za financiranjem socijalnih i infrastrukturnih programa, dok će dugoročni fiskalni izazovi biti povezani s potrebom za smanjenjem javnog duga.</w:t>
      </w:r>
    </w:p>
    <w:p w14:paraId="1D1B8400" w14:textId="515D8555" w:rsidR="00790413" w:rsidRPr="00790413" w:rsidRDefault="00790413" w:rsidP="00790413">
      <w:pPr>
        <w:pStyle w:val="Default"/>
        <w:numPr>
          <w:ilvl w:val="0"/>
          <w:numId w:val="15"/>
        </w:numPr>
        <w:jc w:val="both"/>
      </w:pPr>
      <w:r w:rsidRPr="00790413">
        <w:rPr>
          <w:b/>
          <w:bCs/>
        </w:rPr>
        <w:t>Strukturne reforme i investicije</w:t>
      </w:r>
      <w:r w:rsidRPr="00790413">
        <w:t>: Za dugoročni rast, B</w:t>
      </w:r>
      <w:r w:rsidR="003554AA">
        <w:t xml:space="preserve">osna </w:t>
      </w:r>
      <w:r w:rsidRPr="00790413">
        <w:t>i</w:t>
      </w:r>
      <w:r w:rsidR="003554AA">
        <w:t xml:space="preserve"> </w:t>
      </w:r>
      <w:r w:rsidRPr="00790413">
        <w:t>H</w:t>
      </w:r>
      <w:r w:rsidR="003554AA">
        <w:t>ercegovina</w:t>
      </w:r>
      <w:r w:rsidRPr="00790413">
        <w:t xml:space="preserve"> će morati ubrzati implementaciju ključnih strukturnih reformi, uključujući digitalizaciju, poboljšanje poslovne klime i privlačenje stranih investicija. Očekuje se da će 2025. godina biti godina kada bi reforma pravnog okvira i poboljšanje konkurentnosti mogli donijeti prve značajnije rezultate.</w:t>
      </w:r>
    </w:p>
    <w:p w14:paraId="7981F7CC" w14:textId="50467CC1" w:rsidR="00790413" w:rsidRPr="00790413" w:rsidRDefault="00790413" w:rsidP="003A51A1">
      <w:pPr>
        <w:pStyle w:val="Default"/>
        <w:ind w:firstLine="720"/>
        <w:jc w:val="both"/>
      </w:pPr>
      <w:r w:rsidRPr="00790413">
        <w:t>Makroekonomske pretpostavke za 2025. godinu u Bosni i Hercegovini ukazuju na umjereni rast, uz stabilizaciju inflacije i smanjenje stope nezaposlenosti. Ipak, izazovi povezani s vanjskom trgovinom, fiskalnim deficitima i strukturnim reformama bit će ključni za dugoročni ekonomski napredak. Stabilnost političke situacije i daljnje usmjerenje prema europskim integracijama odredit će tempo i uspjeh makroekonomskih ciljeva za 2025. godinu.</w:t>
      </w:r>
    </w:p>
    <w:p w14:paraId="415B74FA" w14:textId="77777777" w:rsidR="007D49FA" w:rsidRPr="00316CD9" w:rsidRDefault="007D49FA" w:rsidP="000E3F69">
      <w:pPr>
        <w:pStyle w:val="Default"/>
        <w:jc w:val="both"/>
      </w:pPr>
    </w:p>
    <w:p w14:paraId="20960C04" w14:textId="77777777" w:rsidR="008874C8" w:rsidRPr="00316CD9" w:rsidRDefault="008874C8" w:rsidP="000E3F69">
      <w:pPr>
        <w:pStyle w:val="Default"/>
        <w:jc w:val="both"/>
      </w:pPr>
    </w:p>
    <w:p w14:paraId="0827A778" w14:textId="77777777" w:rsidR="00261A03" w:rsidRDefault="00261A03" w:rsidP="00180431">
      <w:pPr>
        <w:ind w:firstLine="720"/>
        <w:jc w:val="both"/>
        <w:rPr>
          <w:b/>
          <w:bCs/>
          <w:lang w:val="hr-HR"/>
        </w:rPr>
      </w:pPr>
    </w:p>
    <w:p w14:paraId="384B4311" w14:textId="77777777" w:rsidR="00031A14" w:rsidRDefault="00031A14" w:rsidP="00180431">
      <w:pPr>
        <w:ind w:firstLine="720"/>
        <w:jc w:val="both"/>
        <w:rPr>
          <w:b/>
          <w:bCs/>
          <w:lang w:val="hr-HR"/>
        </w:rPr>
      </w:pPr>
    </w:p>
    <w:p w14:paraId="7932B5CE" w14:textId="77777777" w:rsidR="00031A14" w:rsidRPr="00316CD9" w:rsidRDefault="00031A14" w:rsidP="00180431">
      <w:pPr>
        <w:ind w:firstLine="720"/>
        <w:jc w:val="both"/>
        <w:rPr>
          <w:b/>
          <w:bCs/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5"/>
        <w:gridCol w:w="8568"/>
      </w:tblGrid>
      <w:tr w:rsidR="00CA1958" w:rsidRPr="00316CD9" w14:paraId="421153C0" w14:textId="77777777">
        <w:tc>
          <w:tcPr>
            <w:tcW w:w="828" w:type="dxa"/>
            <w:shd w:val="clear" w:color="auto" w:fill="404040"/>
          </w:tcPr>
          <w:p w14:paraId="7450557F" w14:textId="77777777" w:rsidR="00CA1958" w:rsidRPr="00316CD9" w:rsidRDefault="00CA1958">
            <w:pPr>
              <w:pStyle w:val="Naslov"/>
              <w:rPr>
                <w:color w:val="FFFFFF"/>
              </w:rPr>
            </w:pPr>
            <w:r w:rsidRPr="00316CD9">
              <w:rPr>
                <w:color w:val="FFFFFF"/>
              </w:rPr>
              <w:t>4.</w:t>
            </w:r>
          </w:p>
        </w:tc>
        <w:tc>
          <w:tcPr>
            <w:tcW w:w="8771" w:type="dxa"/>
          </w:tcPr>
          <w:p w14:paraId="48ECDE19" w14:textId="1D5C9C5A" w:rsidR="00CA1958" w:rsidRPr="00316CD9" w:rsidRDefault="00CA1958" w:rsidP="00C4204A">
            <w:pPr>
              <w:pStyle w:val="Naslov"/>
              <w:jc w:val="both"/>
            </w:pPr>
            <w:r w:rsidRPr="00316CD9">
              <w:t xml:space="preserve">STRUKTURA PRORAČUNA ŽUPANIJE POSAVSKE ZA </w:t>
            </w:r>
            <w:r w:rsidR="009F790A" w:rsidRPr="00316CD9">
              <w:t>2025</w:t>
            </w:r>
            <w:r w:rsidRPr="00316CD9">
              <w:t xml:space="preserve">. GODINU – </w:t>
            </w:r>
            <w:r w:rsidR="000C206D" w:rsidRPr="00316CD9">
              <w:t>PRIHODI, PRIMICI I FINANCIRANJE</w:t>
            </w:r>
          </w:p>
        </w:tc>
      </w:tr>
    </w:tbl>
    <w:p w14:paraId="2DC6D174" w14:textId="77777777" w:rsidR="00CA1958" w:rsidRPr="00316CD9" w:rsidRDefault="00CA1958">
      <w:pPr>
        <w:jc w:val="both"/>
        <w:rPr>
          <w:b/>
          <w:bCs/>
          <w:lang w:val="hr-HR"/>
        </w:rPr>
      </w:pPr>
    </w:p>
    <w:p w14:paraId="3F5E2DC7" w14:textId="2C272C4D" w:rsidR="00CA1958" w:rsidRPr="00316CD9" w:rsidRDefault="00CA1958">
      <w:pPr>
        <w:pStyle w:val="Uvuenotijeloteksta"/>
        <w:spacing w:line="240" w:lineRule="auto"/>
      </w:pPr>
      <w:r w:rsidRPr="00316CD9">
        <w:t xml:space="preserve">Ukupno planirani </w:t>
      </w:r>
      <w:r w:rsidR="00581DC1" w:rsidRPr="00316CD9">
        <w:t>prihodi</w:t>
      </w:r>
      <w:r w:rsidR="000C206D" w:rsidRPr="00316CD9">
        <w:t>, primici i financiranje</w:t>
      </w:r>
      <w:r w:rsidRPr="00316CD9">
        <w:t xml:space="preserve"> Proračuna Županije Posavske za </w:t>
      </w:r>
      <w:r w:rsidR="009F790A" w:rsidRPr="00316CD9">
        <w:t>2025</w:t>
      </w:r>
      <w:r w:rsidRPr="00316CD9">
        <w:t>. godin</w:t>
      </w:r>
      <w:r w:rsidR="001E58B6" w:rsidRPr="00316CD9">
        <w:t>u</w:t>
      </w:r>
      <w:r w:rsidRPr="00316CD9">
        <w:t xml:space="preserve"> iznose </w:t>
      </w:r>
      <w:r w:rsidR="00BD0363" w:rsidRPr="00316CD9">
        <w:t>72.</w:t>
      </w:r>
      <w:r w:rsidR="005832FA">
        <w:t>4</w:t>
      </w:r>
      <w:r w:rsidR="003829C1">
        <w:t>58</w:t>
      </w:r>
      <w:r w:rsidR="00BD0363" w:rsidRPr="00316CD9">
        <w:t>.350</w:t>
      </w:r>
      <w:r w:rsidRPr="00316CD9">
        <w:t xml:space="preserve"> KM, odnosno </w:t>
      </w:r>
      <w:r w:rsidR="00BD0363" w:rsidRPr="00316CD9">
        <w:t>0,</w:t>
      </w:r>
      <w:r w:rsidR="00EB16B7">
        <w:t>47</w:t>
      </w:r>
      <w:r w:rsidRPr="00316CD9">
        <w:t xml:space="preserve">% </w:t>
      </w:r>
      <w:r w:rsidR="000C206D" w:rsidRPr="00316CD9">
        <w:t>više</w:t>
      </w:r>
      <w:r w:rsidRPr="00316CD9">
        <w:t xml:space="preserve"> nego što je planirano u </w:t>
      </w:r>
      <w:r w:rsidR="00BD0363" w:rsidRPr="00316CD9">
        <w:t>2024</w:t>
      </w:r>
      <w:r w:rsidRPr="00316CD9">
        <w:t>.</w:t>
      </w:r>
      <w:r w:rsidR="00DD74F2" w:rsidRPr="00316CD9">
        <w:t xml:space="preserve"> </w:t>
      </w:r>
      <w:r w:rsidRPr="00316CD9">
        <w:t xml:space="preserve">godini, ili u apsolutnom iznosu </w:t>
      </w:r>
      <w:r w:rsidR="008A3D98">
        <w:t>3</w:t>
      </w:r>
      <w:r w:rsidR="00BE0953" w:rsidRPr="00316CD9">
        <w:t>38.550</w:t>
      </w:r>
      <w:r w:rsidRPr="00316CD9">
        <w:t xml:space="preserve"> KM </w:t>
      </w:r>
      <w:r w:rsidR="000C206D" w:rsidRPr="00316CD9">
        <w:t>više</w:t>
      </w:r>
      <w:r w:rsidRPr="00316CD9">
        <w:t>.</w:t>
      </w:r>
    </w:p>
    <w:p w14:paraId="1B0EEE95" w14:textId="50D94BAC" w:rsidR="00CA1958" w:rsidRPr="00316CD9" w:rsidRDefault="00CA1958">
      <w:pPr>
        <w:pStyle w:val="Tijeloteksta-uvlaka2"/>
        <w:rPr>
          <w:color w:val="auto"/>
        </w:rPr>
      </w:pPr>
      <w:r w:rsidRPr="00316CD9">
        <w:rPr>
          <w:color w:val="auto"/>
        </w:rPr>
        <w:t xml:space="preserve">Na slijedećem grafu prikazan je usporedni prikaz osnovnih skupina prihoda i primitaka u Proračunu Županije Posavske za </w:t>
      </w:r>
      <w:r w:rsidR="00BE0953" w:rsidRPr="00316CD9">
        <w:rPr>
          <w:color w:val="auto"/>
        </w:rPr>
        <w:t>2024</w:t>
      </w:r>
      <w:r w:rsidRPr="00316CD9">
        <w:rPr>
          <w:color w:val="auto"/>
        </w:rPr>
        <w:t xml:space="preserve">. i </w:t>
      </w:r>
      <w:r w:rsidR="00BE0953" w:rsidRPr="00316CD9">
        <w:rPr>
          <w:color w:val="auto"/>
        </w:rPr>
        <w:t>2025</w:t>
      </w:r>
      <w:r w:rsidRPr="00316CD9">
        <w:rPr>
          <w:color w:val="auto"/>
        </w:rPr>
        <w:t>. godinu.</w:t>
      </w:r>
    </w:p>
    <w:p w14:paraId="00FD2D7C" w14:textId="77777777" w:rsidR="00CA1958" w:rsidRPr="00316CD9" w:rsidRDefault="00C74E2C">
      <w:pPr>
        <w:pStyle w:val="Tijeloteksta-uvlaka2"/>
        <w:ind w:firstLine="0"/>
        <w:jc w:val="center"/>
        <w:rPr>
          <w:color w:val="auto"/>
        </w:rPr>
      </w:pPr>
      <w:r w:rsidRPr="00316CD9">
        <w:rPr>
          <w:noProof/>
          <w:color w:val="auto"/>
          <w:lang w:eastAsia="hr-HR"/>
        </w:rPr>
        <w:drawing>
          <wp:inline distT="0" distB="0" distL="0" distR="0" wp14:anchorId="1A22A75D" wp14:editId="4E095FD6">
            <wp:extent cx="5592445" cy="2433955"/>
            <wp:effectExtent l="0" t="0" r="0" b="0"/>
            <wp:docPr id="22" name="Objekt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BC6983C" w14:textId="22466CEE" w:rsidR="000C206D" w:rsidRPr="00316CD9" w:rsidRDefault="000C206D" w:rsidP="000C206D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Ukupni proračunski prihodi planirani Proračunom Županije Posavske za </w:t>
      </w:r>
      <w:r w:rsidR="00004A1E" w:rsidRPr="00316CD9">
        <w:rPr>
          <w:lang w:val="hr-HR"/>
        </w:rPr>
        <w:t>2025</w:t>
      </w:r>
      <w:r w:rsidRPr="00316CD9">
        <w:rPr>
          <w:lang w:val="hr-HR"/>
        </w:rPr>
        <w:t xml:space="preserve">. godinu iznose </w:t>
      </w:r>
      <w:r w:rsidR="00F363D4" w:rsidRPr="00316CD9">
        <w:rPr>
          <w:lang w:val="hr-HR"/>
        </w:rPr>
        <w:t>72</w:t>
      </w:r>
      <w:r w:rsidR="004D24A6" w:rsidRPr="00316CD9">
        <w:rPr>
          <w:lang w:val="hr-HR"/>
        </w:rPr>
        <w:t>.</w:t>
      </w:r>
      <w:r w:rsidR="00143F9D">
        <w:rPr>
          <w:lang w:val="hr-HR"/>
        </w:rPr>
        <w:t>4</w:t>
      </w:r>
      <w:r w:rsidR="004D24A6" w:rsidRPr="00316CD9">
        <w:rPr>
          <w:lang w:val="hr-HR"/>
        </w:rPr>
        <w:t>58.350</w:t>
      </w:r>
      <w:r w:rsidRPr="00316CD9">
        <w:rPr>
          <w:lang w:val="hr-HR"/>
        </w:rPr>
        <w:t xml:space="preserve"> KM, i veći su za </w:t>
      </w:r>
      <w:r w:rsidR="004D24A6" w:rsidRPr="00316CD9">
        <w:rPr>
          <w:lang w:val="hr-HR"/>
        </w:rPr>
        <w:t>1,</w:t>
      </w:r>
      <w:r w:rsidR="0074140C">
        <w:rPr>
          <w:lang w:val="hr-HR"/>
        </w:rPr>
        <w:t>17</w:t>
      </w:r>
      <w:r w:rsidRPr="00316CD9">
        <w:rPr>
          <w:lang w:val="hr-HR"/>
        </w:rPr>
        <w:t>% od prora</w:t>
      </w:r>
      <w:r w:rsidR="001974BC" w:rsidRPr="00316CD9">
        <w:rPr>
          <w:lang w:val="hr-HR"/>
        </w:rPr>
        <w:t xml:space="preserve">čunskih prihoda planiranih u </w:t>
      </w:r>
      <w:r w:rsidR="004D24A6" w:rsidRPr="00316CD9">
        <w:rPr>
          <w:lang w:val="hr-HR"/>
        </w:rPr>
        <w:t>2024</w:t>
      </w:r>
      <w:r w:rsidRPr="00316CD9">
        <w:rPr>
          <w:lang w:val="hr-HR"/>
        </w:rPr>
        <w:t xml:space="preserve">. godini, odnosno veći za </w:t>
      </w:r>
      <w:r w:rsidR="00F30167">
        <w:rPr>
          <w:lang w:val="hr-HR"/>
        </w:rPr>
        <w:t>8</w:t>
      </w:r>
      <w:r w:rsidR="00BD4F66">
        <w:rPr>
          <w:lang w:val="hr-HR"/>
        </w:rPr>
        <w:t>35</w:t>
      </w:r>
      <w:r w:rsidR="007B5D39" w:rsidRPr="00316CD9">
        <w:rPr>
          <w:lang w:val="hr-HR"/>
        </w:rPr>
        <w:t>.870</w:t>
      </w:r>
      <w:r w:rsidRPr="00316CD9">
        <w:rPr>
          <w:lang w:val="hr-HR"/>
        </w:rPr>
        <w:t xml:space="preserve"> KM.</w:t>
      </w:r>
    </w:p>
    <w:p w14:paraId="5CCAF363" w14:textId="77777777" w:rsidR="000C206D" w:rsidRPr="00316CD9" w:rsidRDefault="000C206D" w:rsidP="000C206D">
      <w:pPr>
        <w:pStyle w:val="Tijeloteksta-uvlaka2"/>
        <w:ind w:firstLine="0"/>
        <w:rPr>
          <w:color w:val="auto"/>
        </w:rPr>
      </w:pPr>
    </w:p>
    <w:p w14:paraId="70E80E24" w14:textId="77777777" w:rsidR="00B512D8" w:rsidRPr="00316CD9" w:rsidRDefault="00B512D8" w:rsidP="000C206D">
      <w:pPr>
        <w:pStyle w:val="Tijeloteksta-uvlaka2"/>
        <w:ind w:firstLine="0"/>
        <w:rPr>
          <w:color w:val="auto"/>
        </w:rPr>
      </w:pPr>
    </w:p>
    <w:p w14:paraId="11737643" w14:textId="77777777" w:rsidR="00CA1958" w:rsidRPr="00316CD9" w:rsidRDefault="00CA1958">
      <w:pPr>
        <w:pStyle w:val="Naslov1"/>
        <w:ind w:firstLine="720"/>
        <w:jc w:val="left"/>
      </w:pPr>
      <w:r w:rsidRPr="00316CD9">
        <w:t xml:space="preserve">4.1.1 </w:t>
      </w:r>
      <w:r w:rsidRPr="00316CD9">
        <w:tab/>
        <w:t>PRIHODI OD POREZA</w:t>
      </w:r>
    </w:p>
    <w:p w14:paraId="158CB37F" w14:textId="77777777" w:rsidR="00CA1958" w:rsidRPr="00316CD9" w:rsidRDefault="00CA1958">
      <w:pPr>
        <w:ind w:firstLine="720"/>
        <w:jc w:val="both"/>
        <w:rPr>
          <w:b/>
          <w:bCs/>
          <w:u w:val="single"/>
          <w:lang w:val="hr-HR"/>
        </w:rPr>
      </w:pPr>
    </w:p>
    <w:p w14:paraId="51CEC9BB" w14:textId="2E0E3EAB" w:rsidR="00CA1958" w:rsidRPr="00316CD9" w:rsidRDefault="00CA1958">
      <w:pPr>
        <w:pStyle w:val="Tijeloteksta-uvlaka2"/>
        <w:rPr>
          <w:color w:val="auto"/>
        </w:rPr>
      </w:pPr>
      <w:r w:rsidRPr="00316CD9">
        <w:rPr>
          <w:color w:val="auto"/>
        </w:rPr>
        <w:t>Proračunom ukupno planirani porezni prihodi (kategorija 710000) iznose</w:t>
      </w:r>
      <w:r w:rsidR="00DD74F2" w:rsidRPr="00316CD9">
        <w:rPr>
          <w:color w:val="auto"/>
        </w:rPr>
        <w:t xml:space="preserve"> </w:t>
      </w:r>
      <w:r w:rsidR="007B5D39" w:rsidRPr="00316CD9">
        <w:rPr>
          <w:color w:val="auto"/>
        </w:rPr>
        <w:t>60.</w:t>
      </w:r>
      <w:r w:rsidR="00782640">
        <w:rPr>
          <w:color w:val="auto"/>
        </w:rPr>
        <w:t>755</w:t>
      </w:r>
      <w:r w:rsidR="007B5D39" w:rsidRPr="00316CD9">
        <w:rPr>
          <w:color w:val="auto"/>
        </w:rPr>
        <w:t>.</w:t>
      </w:r>
      <w:r w:rsidR="00F363D4" w:rsidRPr="00316CD9">
        <w:rPr>
          <w:color w:val="auto"/>
        </w:rPr>
        <w:t>3</w:t>
      </w:r>
      <w:r w:rsidR="00782640">
        <w:rPr>
          <w:color w:val="auto"/>
        </w:rPr>
        <w:t>3</w:t>
      </w:r>
      <w:r w:rsidR="007B5D39" w:rsidRPr="00316CD9">
        <w:rPr>
          <w:color w:val="auto"/>
        </w:rPr>
        <w:t>0</w:t>
      </w:r>
      <w:r w:rsidRPr="00316CD9">
        <w:rPr>
          <w:color w:val="auto"/>
        </w:rPr>
        <w:t xml:space="preserve"> KM, odnosno </w:t>
      </w:r>
      <w:r w:rsidR="007B5D39" w:rsidRPr="00316CD9">
        <w:rPr>
          <w:color w:val="auto"/>
        </w:rPr>
        <w:t>6,6</w:t>
      </w:r>
      <w:r w:rsidR="00782640">
        <w:rPr>
          <w:color w:val="auto"/>
        </w:rPr>
        <w:t>6</w:t>
      </w:r>
      <w:r w:rsidRPr="00316CD9">
        <w:rPr>
          <w:color w:val="auto"/>
        </w:rPr>
        <w:t xml:space="preserve">% </w:t>
      </w:r>
      <w:r w:rsidR="00303AB7" w:rsidRPr="00316CD9">
        <w:rPr>
          <w:color w:val="auto"/>
        </w:rPr>
        <w:t>više</w:t>
      </w:r>
      <w:r w:rsidRPr="00316CD9">
        <w:rPr>
          <w:color w:val="auto"/>
        </w:rPr>
        <w:t xml:space="preserve"> u odnosu na plan za </w:t>
      </w:r>
      <w:r w:rsidR="007B5D39" w:rsidRPr="00316CD9">
        <w:rPr>
          <w:color w:val="auto"/>
        </w:rPr>
        <w:t>2024</w:t>
      </w:r>
      <w:r w:rsidRPr="00316CD9">
        <w:rPr>
          <w:color w:val="auto"/>
        </w:rPr>
        <w:t xml:space="preserve">. godinu ili </w:t>
      </w:r>
      <w:r w:rsidR="00414C36" w:rsidRPr="00316CD9">
        <w:rPr>
          <w:color w:val="auto"/>
        </w:rPr>
        <w:t>3.</w:t>
      </w:r>
      <w:r w:rsidR="00447257">
        <w:rPr>
          <w:color w:val="auto"/>
        </w:rPr>
        <w:t>794</w:t>
      </w:r>
      <w:r w:rsidR="00414C36" w:rsidRPr="00316CD9">
        <w:rPr>
          <w:color w:val="auto"/>
        </w:rPr>
        <w:t>.</w:t>
      </w:r>
      <w:r w:rsidR="00447257">
        <w:rPr>
          <w:color w:val="auto"/>
        </w:rPr>
        <w:t>16</w:t>
      </w:r>
      <w:r w:rsidR="00414C36" w:rsidRPr="00316CD9">
        <w:rPr>
          <w:color w:val="auto"/>
        </w:rPr>
        <w:t>8</w:t>
      </w:r>
      <w:r w:rsidRPr="00316CD9">
        <w:rPr>
          <w:color w:val="auto"/>
        </w:rPr>
        <w:t xml:space="preserve"> KM </w:t>
      </w:r>
      <w:r w:rsidR="00303AB7" w:rsidRPr="00316CD9">
        <w:rPr>
          <w:color w:val="auto"/>
        </w:rPr>
        <w:t>više</w:t>
      </w:r>
      <w:r w:rsidRPr="00316CD9">
        <w:rPr>
          <w:color w:val="auto"/>
        </w:rPr>
        <w:t>. Učešće poreznih prihoda u ukupno planiranim prihodima</w:t>
      </w:r>
      <w:r w:rsidR="007E4E3B" w:rsidRPr="00316CD9">
        <w:rPr>
          <w:color w:val="auto"/>
        </w:rPr>
        <w:t>,</w:t>
      </w:r>
      <w:r w:rsidRPr="00316CD9">
        <w:rPr>
          <w:color w:val="auto"/>
        </w:rPr>
        <w:t xml:space="preserve"> primicima</w:t>
      </w:r>
      <w:r w:rsidR="007E4E3B" w:rsidRPr="00316CD9">
        <w:rPr>
          <w:color w:val="auto"/>
        </w:rPr>
        <w:t xml:space="preserve"> i financiranju</w:t>
      </w:r>
      <w:r w:rsidRPr="00316CD9">
        <w:rPr>
          <w:color w:val="auto"/>
        </w:rPr>
        <w:t xml:space="preserve"> Proračuna iznosi </w:t>
      </w:r>
      <w:r w:rsidR="00414C36" w:rsidRPr="00316CD9">
        <w:rPr>
          <w:color w:val="auto"/>
        </w:rPr>
        <w:t>83,8</w:t>
      </w:r>
      <w:r w:rsidR="00D66F67">
        <w:rPr>
          <w:color w:val="auto"/>
        </w:rPr>
        <w:t>5</w:t>
      </w:r>
      <w:r w:rsidRPr="00316CD9">
        <w:rPr>
          <w:color w:val="auto"/>
        </w:rPr>
        <w:t>%.</w:t>
      </w:r>
    </w:p>
    <w:p w14:paraId="051DE66D" w14:textId="77777777" w:rsidR="00CA1958" w:rsidRPr="00316CD9" w:rsidRDefault="00CA1958">
      <w:pPr>
        <w:pStyle w:val="Uvuenotijeloteksta"/>
        <w:spacing w:line="240" w:lineRule="auto"/>
        <w:ind w:firstLine="0"/>
      </w:pPr>
    </w:p>
    <w:p w14:paraId="671D8EC1" w14:textId="77777777" w:rsidR="00CA1958" w:rsidRPr="00316CD9" w:rsidRDefault="00CA1958">
      <w:pPr>
        <w:pStyle w:val="Naslov3"/>
        <w:ind w:firstLine="720"/>
        <w:jc w:val="both"/>
      </w:pPr>
      <w:r w:rsidRPr="00316CD9">
        <w:t>Porez na dobit pojedinaca i poduzeća</w:t>
      </w:r>
    </w:p>
    <w:p w14:paraId="29B7CF1F" w14:textId="6C85CC98" w:rsidR="003A103E" w:rsidRPr="00316CD9" w:rsidRDefault="00CA1958" w:rsidP="003A103E">
      <w:pPr>
        <w:pStyle w:val="Uvuenotijeloteksta"/>
        <w:spacing w:line="240" w:lineRule="auto"/>
      </w:pPr>
      <w:r w:rsidRPr="00316CD9">
        <w:t xml:space="preserve">Prihodi po osnovi poreza na dobit pojedinaca i poreza na dobit poduzeća (potkategorija 711000) planirani su u iznosu od </w:t>
      </w:r>
      <w:r w:rsidR="00445D81" w:rsidRPr="00316CD9">
        <w:t>6.438.350</w:t>
      </w:r>
      <w:r w:rsidRPr="00316CD9">
        <w:t xml:space="preserve"> KM</w:t>
      </w:r>
      <w:r w:rsidR="000C206D" w:rsidRPr="00316CD9">
        <w:t>,</w:t>
      </w:r>
      <w:r w:rsidRPr="00316CD9">
        <w:t xml:space="preserve"> što je za </w:t>
      </w:r>
      <w:r w:rsidR="00C13E2B" w:rsidRPr="00316CD9">
        <w:t>3,</w:t>
      </w:r>
      <w:r w:rsidR="00445D81" w:rsidRPr="00316CD9">
        <w:t>92</w:t>
      </w:r>
      <w:r w:rsidRPr="00316CD9">
        <w:t xml:space="preserve">% </w:t>
      </w:r>
      <w:r w:rsidR="00303AB7" w:rsidRPr="00316CD9">
        <w:t>više</w:t>
      </w:r>
      <w:r w:rsidRPr="00316CD9">
        <w:t xml:space="preserve"> u odnosu na planirane </w:t>
      </w:r>
      <w:r w:rsidR="0060280C" w:rsidRPr="00316CD9">
        <w:t xml:space="preserve">u </w:t>
      </w:r>
      <w:r w:rsidRPr="00316CD9">
        <w:t>Proračun</w:t>
      </w:r>
      <w:r w:rsidR="0060280C" w:rsidRPr="00316CD9">
        <w:t>u</w:t>
      </w:r>
      <w:r w:rsidRPr="00316CD9">
        <w:t xml:space="preserve"> za </w:t>
      </w:r>
      <w:r w:rsidR="00445D81" w:rsidRPr="00316CD9">
        <w:t>2024</w:t>
      </w:r>
      <w:r w:rsidRPr="00316CD9">
        <w:t>. godinu</w:t>
      </w:r>
      <w:r w:rsidR="000C206D" w:rsidRPr="00316CD9">
        <w:t>,</w:t>
      </w:r>
      <w:r w:rsidRPr="00316CD9">
        <w:t xml:space="preserve"> ili u apsolutnom iznosu </w:t>
      </w:r>
      <w:r w:rsidR="00E70F99" w:rsidRPr="00316CD9">
        <w:t>242.660</w:t>
      </w:r>
      <w:r w:rsidRPr="00316CD9">
        <w:t xml:space="preserve"> KM </w:t>
      </w:r>
      <w:r w:rsidR="00303AB7" w:rsidRPr="00316CD9">
        <w:t>više</w:t>
      </w:r>
      <w:r w:rsidRPr="00316CD9">
        <w:t xml:space="preserve">. Pri planiranju ovih prihoda Ministarstvo financija Županije Posavske se rukovodilo revidiranim projekcijama prihoda </w:t>
      </w:r>
      <w:r w:rsidR="000E78FA" w:rsidRPr="00316CD9">
        <w:t xml:space="preserve">po osnovi neizravnih i izravnih poreza za </w:t>
      </w:r>
      <w:r w:rsidR="00E70F99" w:rsidRPr="00316CD9">
        <w:t>2024</w:t>
      </w:r>
      <w:r w:rsidR="000E78FA" w:rsidRPr="00316CD9">
        <w:t>. godinu i plan</w:t>
      </w:r>
      <w:r w:rsidR="005824CB" w:rsidRPr="00316CD9">
        <w:t>om</w:t>
      </w:r>
      <w:r w:rsidR="000E78FA" w:rsidRPr="00316CD9">
        <w:t xml:space="preserve"> za razdoblje </w:t>
      </w:r>
      <w:r w:rsidR="00E70F99" w:rsidRPr="00316CD9">
        <w:t>2025</w:t>
      </w:r>
      <w:r w:rsidR="00303AB7" w:rsidRPr="00316CD9">
        <w:t>.</w:t>
      </w:r>
      <w:r w:rsidR="000E78FA" w:rsidRPr="00316CD9">
        <w:t>-</w:t>
      </w:r>
      <w:r w:rsidR="00C13E2B" w:rsidRPr="00316CD9">
        <w:t>202</w:t>
      </w:r>
      <w:r w:rsidR="00E70F99" w:rsidRPr="00316CD9">
        <w:t>7</w:t>
      </w:r>
      <w:r w:rsidR="000E78FA" w:rsidRPr="00316CD9">
        <w:t>. godina</w:t>
      </w:r>
      <w:r w:rsidRPr="00316CD9">
        <w:t>, koje je izradilo Odjeljenje za makroekonomsku analizu (OMA) Uprave za neizravno oporezivanje BiH</w:t>
      </w:r>
      <w:r w:rsidR="000E78FA" w:rsidRPr="00316CD9">
        <w:t xml:space="preserve"> </w:t>
      </w:r>
      <w:r w:rsidR="00F97354" w:rsidRPr="00316CD9">
        <w:t xml:space="preserve">u </w:t>
      </w:r>
      <w:r w:rsidR="000C206D" w:rsidRPr="00316CD9">
        <w:t>rujnu/</w:t>
      </w:r>
      <w:r w:rsidR="00F97354" w:rsidRPr="00316CD9">
        <w:t xml:space="preserve">listopadu </w:t>
      </w:r>
      <w:r w:rsidR="00E70F99" w:rsidRPr="00316CD9">
        <w:t>2024</w:t>
      </w:r>
      <w:r w:rsidR="00F97354" w:rsidRPr="00316CD9">
        <w:t>. godine</w:t>
      </w:r>
      <w:r w:rsidRPr="00316CD9">
        <w:t xml:space="preserve">, kao i preliminarnim izvršenjem za fiskalnu </w:t>
      </w:r>
      <w:r w:rsidR="00E70F99" w:rsidRPr="00316CD9">
        <w:t>2024</w:t>
      </w:r>
      <w:r w:rsidRPr="00316CD9">
        <w:t>. godinu.</w:t>
      </w:r>
      <w:r w:rsidR="003A103E" w:rsidRPr="00316CD9">
        <w:t xml:space="preserve"> </w:t>
      </w:r>
      <w:r w:rsidR="003C430D" w:rsidRPr="00316CD9">
        <w:t>P</w:t>
      </w:r>
      <w:r w:rsidR="003A103E" w:rsidRPr="00316CD9">
        <w:t xml:space="preserve">rojekcije prihoda od poreza na dobit za </w:t>
      </w:r>
      <w:r w:rsidR="003C430D" w:rsidRPr="00316CD9">
        <w:t>2025</w:t>
      </w:r>
      <w:r w:rsidR="003A103E" w:rsidRPr="00316CD9">
        <w:t xml:space="preserve">. godinu </w:t>
      </w:r>
      <w:r w:rsidR="003C430D" w:rsidRPr="00316CD9">
        <w:t>oprezno predviđaju</w:t>
      </w:r>
      <w:r w:rsidR="00DB6C7B" w:rsidRPr="00316CD9">
        <w:t xml:space="preserve"> prosječni godišnji rast</w:t>
      </w:r>
      <w:r w:rsidR="008D485E" w:rsidRPr="00316CD9">
        <w:t xml:space="preserve"> uzimajući u obzir prilično visoku razinu nepredvidivosti</w:t>
      </w:r>
      <w:r w:rsidR="00ED39C3" w:rsidRPr="00316CD9">
        <w:t xml:space="preserve"> i u međunarodnom i u domaćem okružju.</w:t>
      </w:r>
    </w:p>
    <w:p w14:paraId="6A3E47ED" w14:textId="77777777" w:rsidR="00CA1958" w:rsidRPr="00316CD9" w:rsidRDefault="00CA1958">
      <w:pPr>
        <w:pStyle w:val="Uvuenotijeloteksta"/>
        <w:spacing w:line="240" w:lineRule="auto"/>
        <w:rPr>
          <w:sz w:val="16"/>
          <w:szCs w:val="16"/>
        </w:rPr>
      </w:pPr>
    </w:p>
    <w:p w14:paraId="725A409C" w14:textId="77777777" w:rsidR="00CA1958" w:rsidRPr="00316CD9" w:rsidRDefault="00CA1958">
      <w:pPr>
        <w:pStyle w:val="Naslov3"/>
        <w:ind w:firstLine="720"/>
        <w:jc w:val="both"/>
      </w:pPr>
      <w:r w:rsidRPr="00316CD9">
        <w:t>Porez na plaću i radnu snagu</w:t>
      </w:r>
    </w:p>
    <w:p w14:paraId="0B6DA7FF" w14:textId="40A5E0B9" w:rsidR="00CA1958" w:rsidRPr="00316CD9" w:rsidRDefault="00CA1958">
      <w:pPr>
        <w:pStyle w:val="Tijeloteksta"/>
        <w:ind w:firstLine="720"/>
      </w:pPr>
      <w:r w:rsidRPr="00316CD9">
        <w:t xml:space="preserve">Porezi na plaću i radnu snagu (potkategorija 713000) planirani su u iznosu od </w:t>
      </w:r>
      <w:r w:rsidR="004638D4" w:rsidRPr="00316CD9">
        <w:t>580</w:t>
      </w:r>
      <w:r w:rsidRPr="00316CD9">
        <w:t xml:space="preserve"> KM na osnovi preliminarnog izvršenja u fiskalnoj </w:t>
      </w:r>
      <w:r w:rsidR="004638D4" w:rsidRPr="00316CD9">
        <w:t>2024</w:t>
      </w:r>
      <w:r w:rsidRPr="00316CD9">
        <w:t xml:space="preserve">. godini, kao i kretanja izvršenja u razdoblju </w:t>
      </w:r>
      <w:r w:rsidR="004638D4" w:rsidRPr="00316CD9">
        <w:t>2018</w:t>
      </w:r>
      <w:r w:rsidRPr="00316CD9">
        <w:t>.-</w:t>
      </w:r>
      <w:r w:rsidR="004638D4" w:rsidRPr="00316CD9">
        <w:t>2023</w:t>
      </w:r>
      <w:r w:rsidRPr="00316CD9">
        <w:t xml:space="preserve">. godina, odnosno ne temelju izmirenja obveza iz prethodnih godina budući je od 01.01.2009. godine na snazi Zakon o porezu na dohodak («Službene novine Federacije BiH» broj: 10/08, 9/10, 44/11, 7/13 i 65/13). Proračunom planirani prihodi od poreza na plaću i radnu snagu </w:t>
      </w:r>
      <w:r w:rsidR="004638D4" w:rsidRPr="00316CD9">
        <w:t>manji</w:t>
      </w:r>
      <w:r w:rsidRPr="00316CD9">
        <w:t xml:space="preserve"> su od plana za </w:t>
      </w:r>
      <w:r w:rsidR="004638D4" w:rsidRPr="00316CD9">
        <w:t>2024</w:t>
      </w:r>
      <w:r w:rsidRPr="00316CD9">
        <w:t xml:space="preserve">. godinu za </w:t>
      </w:r>
      <w:r w:rsidR="00BD5CAC" w:rsidRPr="00316CD9">
        <w:t>9,3</w:t>
      </w:r>
      <w:r w:rsidR="005C0312">
        <w:t>7</w:t>
      </w:r>
      <w:r w:rsidRPr="00316CD9">
        <w:t xml:space="preserve">% ili </w:t>
      </w:r>
      <w:r w:rsidR="00BD5CAC" w:rsidRPr="00316CD9">
        <w:t>manji</w:t>
      </w:r>
      <w:r w:rsidRPr="00316CD9">
        <w:t xml:space="preserve"> za </w:t>
      </w:r>
      <w:r w:rsidR="00BD5CAC" w:rsidRPr="00316CD9">
        <w:t>60</w:t>
      </w:r>
      <w:r w:rsidRPr="00316CD9">
        <w:t xml:space="preserve"> KM.</w:t>
      </w:r>
    </w:p>
    <w:p w14:paraId="11F4481B" w14:textId="77777777" w:rsidR="00CA1958" w:rsidRPr="00316CD9" w:rsidRDefault="00CA1958">
      <w:pPr>
        <w:pStyle w:val="Naslov3"/>
        <w:ind w:firstLine="720"/>
        <w:jc w:val="both"/>
      </w:pPr>
      <w:r w:rsidRPr="00316CD9">
        <w:lastRenderedPageBreak/>
        <w:t>Porez na imovinu</w:t>
      </w:r>
    </w:p>
    <w:p w14:paraId="637EF704" w14:textId="766A4D90" w:rsidR="00CA1958" w:rsidRPr="00316CD9" w:rsidRDefault="00CA1958">
      <w:pPr>
        <w:pStyle w:val="Uvuenotijeloteksta"/>
        <w:spacing w:line="240" w:lineRule="auto"/>
      </w:pPr>
      <w:r w:rsidRPr="00316CD9">
        <w:t xml:space="preserve">Prihodi od poreza na imovinu (potkategorija 714000) su planirani u iznosu od </w:t>
      </w:r>
      <w:r w:rsidR="005C0312">
        <w:t>286</w:t>
      </w:r>
      <w:r w:rsidR="00BD5CAC" w:rsidRPr="00316CD9">
        <w:t>.</w:t>
      </w:r>
      <w:r w:rsidR="00A20491">
        <w:t>36</w:t>
      </w:r>
      <w:r w:rsidR="00BD5CAC" w:rsidRPr="00316CD9">
        <w:t>0</w:t>
      </w:r>
      <w:r w:rsidRPr="00316CD9">
        <w:t xml:space="preserve"> KM i </w:t>
      </w:r>
      <w:r w:rsidR="00BD5CAC" w:rsidRPr="00316CD9">
        <w:t>manji</w:t>
      </w:r>
      <w:r w:rsidRPr="00316CD9">
        <w:t xml:space="preserve"> su od plana prethodne godine za </w:t>
      </w:r>
      <w:r w:rsidR="00A20491">
        <w:t>13,16</w:t>
      </w:r>
      <w:r w:rsidRPr="00316CD9">
        <w:t>%</w:t>
      </w:r>
      <w:r w:rsidR="000C206D" w:rsidRPr="00316CD9">
        <w:t>,</w:t>
      </w:r>
      <w:r w:rsidRPr="00316CD9">
        <w:t xml:space="preserve"> odnosno u apsolutnom iznosu </w:t>
      </w:r>
      <w:r w:rsidR="00CE2FEF" w:rsidRPr="00316CD9">
        <w:t>manji</w:t>
      </w:r>
      <w:r w:rsidRPr="00316CD9">
        <w:t xml:space="preserve"> za </w:t>
      </w:r>
      <w:r w:rsidR="00AE29C7">
        <w:t>43.410</w:t>
      </w:r>
      <w:r w:rsidRPr="00316CD9">
        <w:t xml:space="preserve"> KM. Projekcija se temelji na izvrše</w:t>
      </w:r>
      <w:r w:rsidR="001A4B62" w:rsidRPr="00316CD9">
        <w:t xml:space="preserve">nju ovih prihoda u fiskalnoj </w:t>
      </w:r>
      <w:r w:rsidR="00CE2FEF" w:rsidRPr="00316CD9">
        <w:t>2024</w:t>
      </w:r>
      <w:r w:rsidRPr="00316CD9">
        <w:t>. godini</w:t>
      </w:r>
      <w:r w:rsidR="001A4B62" w:rsidRPr="00316CD9">
        <w:t>.</w:t>
      </w:r>
    </w:p>
    <w:p w14:paraId="18D75209" w14:textId="77777777" w:rsidR="00CA1958" w:rsidRPr="00316CD9" w:rsidRDefault="00CA1958">
      <w:pPr>
        <w:pStyle w:val="Uvuenotijeloteksta"/>
        <w:spacing w:line="240" w:lineRule="auto"/>
        <w:ind w:firstLine="0"/>
        <w:rPr>
          <w:color w:val="99CCFF"/>
        </w:rPr>
      </w:pPr>
    </w:p>
    <w:p w14:paraId="1772E73B" w14:textId="77777777" w:rsidR="00CA1958" w:rsidRPr="00316CD9" w:rsidRDefault="00CA1958">
      <w:pPr>
        <w:ind w:firstLine="720"/>
        <w:jc w:val="both"/>
        <w:rPr>
          <w:b/>
          <w:bCs/>
          <w:lang w:val="hr-HR"/>
        </w:rPr>
      </w:pPr>
      <w:r w:rsidRPr="00316CD9">
        <w:rPr>
          <w:b/>
          <w:bCs/>
          <w:lang w:val="hr-HR"/>
        </w:rPr>
        <w:t>Domaći porezi na dobra i usluge</w:t>
      </w:r>
    </w:p>
    <w:p w14:paraId="2E1D929C" w14:textId="54CE679C" w:rsidR="00CA1958" w:rsidRPr="00316CD9" w:rsidRDefault="00CA1958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Prihodi od domaćih poreza na dobra i usluge (potkategorija 715000) – zaostale obveze na temelju poreza na promet dobara i usluga - planirani su u iznosu od </w:t>
      </w:r>
      <w:r w:rsidR="00C13E2B" w:rsidRPr="00316CD9">
        <w:rPr>
          <w:lang w:val="hr-HR"/>
        </w:rPr>
        <w:t>5.</w:t>
      </w:r>
      <w:r w:rsidR="00CE2FEF" w:rsidRPr="00316CD9">
        <w:rPr>
          <w:lang w:val="hr-HR"/>
        </w:rPr>
        <w:t>330</w:t>
      </w:r>
      <w:r w:rsidRPr="00316CD9">
        <w:rPr>
          <w:lang w:val="hr-HR"/>
        </w:rPr>
        <w:t xml:space="preserve"> KM, odnosno u apsolutnom iznosu </w:t>
      </w:r>
      <w:r w:rsidR="00385D25" w:rsidRPr="00316CD9">
        <w:rPr>
          <w:lang w:val="hr-HR"/>
        </w:rPr>
        <w:t>170</w:t>
      </w:r>
      <w:r w:rsidRPr="00316CD9">
        <w:rPr>
          <w:lang w:val="hr-HR"/>
        </w:rPr>
        <w:t xml:space="preserve"> KM </w:t>
      </w:r>
      <w:r w:rsidR="00C13E2B" w:rsidRPr="00316CD9">
        <w:rPr>
          <w:lang w:val="hr-HR"/>
        </w:rPr>
        <w:t>manje</w:t>
      </w:r>
      <w:r w:rsidRPr="00316CD9">
        <w:rPr>
          <w:lang w:val="hr-HR"/>
        </w:rPr>
        <w:t xml:space="preserve"> nego u odnosu na planirano u </w:t>
      </w:r>
      <w:r w:rsidR="00385D25" w:rsidRPr="00316CD9">
        <w:rPr>
          <w:lang w:val="hr-HR"/>
        </w:rPr>
        <w:t>2024</w:t>
      </w:r>
      <w:r w:rsidRPr="00316CD9">
        <w:rPr>
          <w:lang w:val="hr-HR"/>
        </w:rPr>
        <w:t>. godini (</w:t>
      </w:r>
      <w:r w:rsidR="00385D25" w:rsidRPr="00316CD9">
        <w:rPr>
          <w:lang w:val="hr-HR"/>
        </w:rPr>
        <w:t>3,09</w:t>
      </w:r>
      <w:r w:rsidRPr="00316CD9">
        <w:rPr>
          <w:lang w:val="hr-HR"/>
        </w:rPr>
        <w:t xml:space="preserve">% </w:t>
      </w:r>
      <w:r w:rsidR="00C13E2B" w:rsidRPr="00316CD9">
        <w:rPr>
          <w:lang w:val="hr-HR"/>
        </w:rPr>
        <w:t>manje</w:t>
      </w:r>
      <w:r w:rsidRPr="00316CD9">
        <w:rPr>
          <w:lang w:val="hr-HR"/>
        </w:rPr>
        <w:t>). Porezne prihode po osnov</w:t>
      </w:r>
      <w:r w:rsidR="00A91B33" w:rsidRPr="00316CD9">
        <w:rPr>
          <w:lang w:val="hr-HR"/>
        </w:rPr>
        <w:t>i</w:t>
      </w:r>
      <w:r w:rsidRPr="00316CD9">
        <w:rPr>
          <w:lang w:val="hr-HR"/>
        </w:rPr>
        <w:t xml:space="preserve"> poreza na promet visokotarifnih roba i određenih proizvoda, porez na promet tarifnog broj 1. i 2. i porez na promet usluga od 01.01.2006.godine zamjenjuju prihodi od neizravnih poreza. </w:t>
      </w:r>
    </w:p>
    <w:p w14:paraId="3F8E2BC9" w14:textId="77777777" w:rsidR="00581DC1" w:rsidRPr="00316CD9" w:rsidRDefault="00581DC1">
      <w:pPr>
        <w:autoSpaceDE w:val="0"/>
        <w:autoSpaceDN w:val="0"/>
        <w:adjustRightInd w:val="0"/>
        <w:ind w:firstLine="720"/>
        <w:jc w:val="both"/>
        <w:rPr>
          <w:lang w:val="hr-HR"/>
        </w:rPr>
      </w:pPr>
    </w:p>
    <w:p w14:paraId="4C3291F0" w14:textId="77777777" w:rsidR="00CA1958" w:rsidRPr="00316CD9" w:rsidRDefault="00CA1958">
      <w:pPr>
        <w:pStyle w:val="Naslov3"/>
        <w:ind w:firstLine="720"/>
        <w:jc w:val="both"/>
      </w:pPr>
      <w:r w:rsidRPr="00316CD9">
        <w:t>Porez na dohodak</w:t>
      </w:r>
    </w:p>
    <w:p w14:paraId="4B158ECF" w14:textId="47BF32D1" w:rsidR="00CA1958" w:rsidRPr="00316CD9" w:rsidRDefault="00CA1958">
      <w:pPr>
        <w:pStyle w:val="Naslov3"/>
        <w:ind w:firstLine="720"/>
        <w:jc w:val="both"/>
        <w:rPr>
          <w:b w:val="0"/>
        </w:rPr>
      </w:pPr>
      <w:r w:rsidRPr="00316CD9">
        <w:rPr>
          <w:b w:val="0"/>
          <w:bCs w:val="0"/>
        </w:rPr>
        <w:t xml:space="preserve">Prihodi po osnovi poreza na dohodak (potkategorija 716000) </w:t>
      </w:r>
      <w:r w:rsidRPr="00316CD9">
        <w:rPr>
          <w:b w:val="0"/>
        </w:rPr>
        <w:t xml:space="preserve">planirani su u iznosu od </w:t>
      </w:r>
      <w:r w:rsidR="00385D25" w:rsidRPr="00316CD9">
        <w:rPr>
          <w:b w:val="0"/>
        </w:rPr>
        <w:t>6.761.32</w:t>
      </w:r>
      <w:r w:rsidR="00C13E2B" w:rsidRPr="00316CD9">
        <w:rPr>
          <w:b w:val="0"/>
        </w:rPr>
        <w:t>0</w:t>
      </w:r>
      <w:r w:rsidRPr="00316CD9">
        <w:rPr>
          <w:b w:val="0"/>
        </w:rPr>
        <w:t xml:space="preserve"> KM što je </w:t>
      </w:r>
      <w:r w:rsidR="00A80C10" w:rsidRPr="00316CD9">
        <w:rPr>
          <w:b w:val="0"/>
        </w:rPr>
        <w:t xml:space="preserve">za </w:t>
      </w:r>
      <w:r w:rsidR="0011273A" w:rsidRPr="00316CD9">
        <w:rPr>
          <w:b w:val="0"/>
        </w:rPr>
        <w:t>14,90</w:t>
      </w:r>
      <w:r w:rsidRPr="00316CD9">
        <w:rPr>
          <w:b w:val="0"/>
        </w:rPr>
        <w:t>% više u odnosu na plan prethodne godine</w:t>
      </w:r>
      <w:r w:rsidR="007D6908" w:rsidRPr="00316CD9">
        <w:rPr>
          <w:b w:val="0"/>
        </w:rPr>
        <w:t>,</w:t>
      </w:r>
      <w:r w:rsidRPr="00316CD9">
        <w:rPr>
          <w:b w:val="0"/>
        </w:rPr>
        <w:t xml:space="preserve"> ili u apsolutnom iznosu </w:t>
      </w:r>
      <w:r w:rsidR="001C5382" w:rsidRPr="00316CD9">
        <w:rPr>
          <w:b w:val="0"/>
        </w:rPr>
        <w:t>876.800</w:t>
      </w:r>
      <w:r w:rsidRPr="00316CD9">
        <w:rPr>
          <w:b w:val="0"/>
        </w:rPr>
        <w:t xml:space="preserve"> KM više. Pri planiranju ovih prihoda Ministarstvo financija Županije Posavske se rukovodilo </w:t>
      </w:r>
      <w:r w:rsidR="00F97354" w:rsidRPr="00316CD9">
        <w:rPr>
          <w:b w:val="0"/>
        </w:rPr>
        <w:t xml:space="preserve">revidiranim projekcijama prihoda po osnovi neizravnih i izravnih poreza za </w:t>
      </w:r>
      <w:r w:rsidR="00384A43" w:rsidRPr="00316CD9">
        <w:rPr>
          <w:b w:val="0"/>
        </w:rPr>
        <w:t>2024</w:t>
      </w:r>
      <w:r w:rsidR="00F97354" w:rsidRPr="00316CD9">
        <w:rPr>
          <w:b w:val="0"/>
        </w:rPr>
        <w:t>. godinu i plan</w:t>
      </w:r>
      <w:r w:rsidR="005824CB" w:rsidRPr="00316CD9">
        <w:rPr>
          <w:b w:val="0"/>
        </w:rPr>
        <w:t>om</w:t>
      </w:r>
      <w:r w:rsidR="00F97354" w:rsidRPr="00316CD9">
        <w:rPr>
          <w:b w:val="0"/>
        </w:rPr>
        <w:t xml:space="preserve"> za razdoblje </w:t>
      </w:r>
      <w:r w:rsidR="00384A43" w:rsidRPr="00316CD9">
        <w:rPr>
          <w:b w:val="0"/>
        </w:rPr>
        <w:t>2025</w:t>
      </w:r>
      <w:r w:rsidR="003344E8" w:rsidRPr="00316CD9">
        <w:rPr>
          <w:b w:val="0"/>
        </w:rPr>
        <w:t>.</w:t>
      </w:r>
      <w:r w:rsidR="00F97354" w:rsidRPr="00316CD9">
        <w:rPr>
          <w:b w:val="0"/>
        </w:rPr>
        <w:t>-</w:t>
      </w:r>
      <w:r w:rsidR="00C13E2B" w:rsidRPr="00316CD9">
        <w:rPr>
          <w:b w:val="0"/>
        </w:rPr>
        <w:t>202</w:t>
      </w:r>
      <w:r w:rsidR="00384A43" w:rsidRPr="00316CD9">
        <w:rPr>
          <w:b w:val="0"/>
        </w:rPr>
        <w:t>7</w:t>
      </w:r>
      <w:r w:rsidR="00F97354" w:rsidRPr="00316CD9">
        <w:rPr>
          <w:b w:val="0"/>
        </w:rPr>
        <w:t xml:space="preserve">. godina, koje je izradilo Odjeljenje za makroekonomsku analizu (OMA) Uprave za neizravno oporezivanje BiH u </w:t>
      </w:r>
      <w:r w:rsidR="007D6908" w:rsidRPr="00316CD9">
        <w:rPr>
          <w:b w:val="0"/>
        </w:rPr>
        <w:t>rujnu/</w:t>
      </w:r>
      <w:r w:rsidR="00F97354" w:rsidRPr="00316CD9">
        <w:rPr>
          <w:b w:val="0"/>
        </w:rPr>
        <w:t xml:space="preserve">listopadu </w:t>
      </w:r>
      <w:r w:rsidR="00384A43" w:rsidRPr="00316CD9">
        <w:rPr>
          <w:b w:val="0"/>
        </w:rPr>
        <w:t>2024</w:t>
      </w:r>
      <w:r w:rsidR="00F97354" w:rsidRPr="00316CD9">
        <w:rPr>
          <w:b w:val="0"/>
        </w:rPr>
        <w:t>. godine</w:t>
      </w:r>
      <w:r w:rsidRPr="00316CD9">
        <w:rPr>
          <w:b w:val="0"/>
        </w:rPr>
        <w:t xml:space="preserve">, kao i </w:t>
      </w:r>
      <w:r w:rsidR="007A71FA" w:rsidRPr="00316CD9">
        <w:rPr>
          <w:b w:val="0"/>
        </w:rPr>
        <w:t xml:space="preserve">preliminarnim </w:t>
      </w:r>
      <w:r w:rsidRPr="00316CD9">
        <w:rPr>
          <w:b w:val="0"/>
        </w:rPr>
        <w:t xml:space="preserve">izvršenjem u fiskalnoj </w:t>
      </w:r>
      <w:r w:rsidR="00384A43" w:rsidRPr="00316CD9">
        <w:rPr>
          <w:b w:val="0"/>
        </w:rPr>
        <w:t>2024</w:t>
      </w:r>
      <w:r w:rsidRPr="00316CD9">
        <w:rPr>
          <w:b w:val="0"/>
        </w:rPr>
        <w:t>. godini.</w:t>
      </w:r>
      <w:r w:rsidR="00ED1621" w:rsidRPr="00316CD9">
        <w:rPr>
          <w:b w:val="0"/>
        </w:rPr>
        <w:t xml:space="preserve"> Imajući u vidu da je </w:t>
      </w:r>
      <w:r w:rsidR="004B0D2C" w:rsidRPr="00316CD9">
        <w:rPr>
          <w:b w:val="0"/>
        </w:rPr>
        <w:t xml:space="preserve">u 2022. i 2023. godini godišnji rast prosječne plaće </w:t>
      </w:r>
      <w:r w:rsidR="00D6642D" w:rsidRPr="00316CD9">
        <w:rPr>
          <w:b w:val="0"/>
        </w:rPr>
        <w:t>bio u velikoj mjeri vezan uz usklađivanje s inflatornim šokovima</w:t>
      </w:r>
      <w:r w:rsidR="00636FAD" w:rsidRPr="00316CD9">
        <w:rPr>
          <w:b w:val="0"/>
        </w:rPr>
        <w:t>, što je na strani naplate prihoda od poreza na dohodak</w:t>
      </w:r>
      <w:r w:rsidR="00171771" w:rsidRPr="00316CD9">
        <w:rPr>
          <w:b w:val="0"/>
        </w:rPr>
        <w:t xml:space="preserve"> rezultiralo dvoznamenkastim stopama rasta, projekcije za 2025. godinu</w:t>
      </w:r>
      <w:r w:rsidR="0011282C" w:rsidRPr="00316CD9">
        <w:rPr>
          <w:b w:val="0"/>
        </w:rPr>
        <w:t xml:space="preserve"> ipak pretpostavljaju skromniji rast ovih prihoda. </w:t>
      </w:r>
    </w:p>
    <w:p w14:paraId="15148740" w14:textId="77777777" w:rsidR="00CA1958" w:rsidRPr="00316CD9" w:rsidRDefault="00CA1958">
      <w:pPr>
        <w:pStyle w:val="Naslov3"/>
        <w:jc w:val="both"/>
        <w:rPr>
          <w:sz w:val="16"/>
          <w:szCs w:val="16"/>
        </w:rPr>
      </w:pPr>
    </w:p>
    <w:p w14:paraId="4F9552E1" w14:textId="77777777" w:rsidR="00CA1958" w:rsidRPr="00316CD9" w:rsidRDefault="00CA1958">
      <w:pPr>
        <w:pStyle w:val="Naslov3"/>
        <w:ind w:firstLine="720"/>
        <w:jc w:val="both"/>
      </w:pPr>
      <w:r w:rsidRPr="00316CD9">
        <w:t>Prihodi od neizravnih poreza</w:t>
      </w:r>
    </w:p>
    <w:p w14:paraId="2E995728" w14:textId="14DD4B11" w:rsidR="00CA1958" w:rsidRPr="00316CD9" w:rsidRDefault="004D4D62">
      <w:pPr>
        <w:pStyle w:val="Default"/>
        <w:ind w:firstLine="720"/>
        <w:jc w:val="both"/>
      </w:pPr>
      <w:r w:rsidRPr="00316CD9">
        <w:t xml:space="preserve">Sukladno Uputi o određivanju udjela kantona, jedinica lokalne samouprave i nadležnih kantonalnih ustanova za ceste u prihodima od neizravnih poreza i načinu raspoređivanja tih prihoda za </w:t>
      </w:r>
      <w:r w:rsidR="00384A43" w:rsidRPr="00316CD9">
        <w:t>2025</w:t>
      </w:r>
      <w:r w:rsidRPr="00316CD9">
        <w:t>. godinu („Službene novine Federacije BiH“, broj: 72</w:t>
      </w:r>
      <w:r w:rsidR="003214D0">
        <w:t>/</w:t>
      </w:r>
      <w:r w:rsidRPr="00316CD9">
        <w:t>2</w:t>
      </w:r>
      <w:r w:rsidR="006E6A66" w:rsidRPr="00316CD9">
        <w:t>4</w:t>
      </w:r>
      <w:r w:rsidRPr="00316CD9">
        <w:t xml:space="preserve">) </w:t>
      </w:r>
      <w:r w:rsidR="003E1457" w:rsidRPr="00316CD9">
        <w:t xml:space="preserve">udjel Županije Posavske u raspodjeli za </w:t>
      </w:r>
      <w:r w:rsidR="0032328A" w:rsidRPr="00316CD9">
        <w:t>2025</w:t>
      </w:r>
      <w:r w:rsidR="003E1457" w:rsidRPr="00316CD9">
        <w:t>. godinu iznosi</w:t>
      </w:r>
      <w:r w:rsidRPr="00316CD9">
        <w:t xml:space="preserve"> </w:t>
      </w:r>
      <w:r w:rsidR="00A741E9" w:rsidRPr="00316CD9">
        <w:t>2,</w:t>
      </w:r>
      <w:r w:rsidR="008317F9" w:rsidRPr="00316CD9">
        <w:t>056</w:t>
      </w:r>
      <w:r w:rsidR="00A741E9" w:rsidRPr="00316CD9">
        <w:t>%</w:t>
      </w:r>
      <w:r w:rsidR="003E1457" w:rsidRPr="00316CD9">
        <w:t xml:space="preserve">, dok je isti u </w:t>
      </w:r>
      <w:r w:rsidR="008317F9" w:rsidRPr="00316CD9">
        <w:t>2024</w:t>
      </w:r>
      <w:r w:rsidR="003E1457" w:rsidRPr="00316CD9">
        <w:t xml:space="preserve">. godini iznosio </w:t>
      </w:r>
      <w:r w:rsidR="008317F9" w:rsidRPr="00316CD9">
        <w:t>2,054</w:t>
      </w:r>
      <w:r w:rsidR="003E1457" w:rsidRPr="00316CD9">
        <w:t>%</w:t>
      </w:r>
      <w:r w:rsidR="008C5F4B" w:rsidRPr="00316CD9">
        <w:t xml:space="preserve"> (odnosno 0,10% veći).</w:t>
      </w:r>
      <w:r w:rsidR="00A741E9" w:rsidRPr="00316CD9">
        <w:t xml:space="preserve"> </w:t>
      </w:r>
      <w:r w:rsidR="00CA1958" w:rsidRPr="00316CD9">
        <w:t xml:space="preserve">Prihodi od neizravnih poreza (potkategorija 717000) planirani su u visini od </w:t>
      </w:r>
      <w:r w:rsidR="00A63BBB" w:rsidRPr="00316CD9">
        <w:t>47.</w:t>
      </w:r>
      <w:r w:rsidR="00406976" w:rsidRPr="00316CD9">
        <w:t>263</w:t>
      </w:r>
      <w:r w:rsidR="00A63BBB" w:rsidRPr="00316CD9">
        <w:t>.160</w:t>
      </w:r>
      <w:r w:rsidR="00CA1958" w:rsidRPr="00316CD9">
        <w:t xml:space="preserve"> KM, što je </w:t>
      </w:r>
      <w:r w:rsidR="000447E4" w:rsidRPr="00316CD9">
        <w:t>povećanje</w:t>
      </w:r>
      <w:r w:rsidR="00CA1958" w:rsidRPr="00316CD9">
        <w:t xml:space="preserve"> od </w:t>
      </w:r>
      <w:r w:rsidR="00A63BBB" w:rsidRPr="00316CD9">
        <w:t>6,10</w:t>
      </w:r>
      <w:r w:rsidR="00CA1958" w:rsidRPr="00316CD9">
        <w:t xml:space="preserve">% u odnosu na plan prethodne godine, odnosno u apsolutnom iznosu </w:t>
      </w:r>
      <w:r w:rsidR="000447E4" w:rsidRPr="00316CD9">
        <w:t>povećanje</w:t>
      </w:r>
      <w:r w:rsidR="00CA1958" w:rsidRPr="00316CD9">
        <w:t xml:space="preserve"> za </w:t>
      </w:r>
      <w:r w:rsidR="008C54B8" w:rsidRPr="00316CD9">
        <w:t>2.718.348</w:t>
      </w:r>
      <w:r w:rsidR="00126FC3" w:rsidRPr="00316CD9">
        <w:t xml:space="preserve"> KM.</w:t>
      </w:r>
      <w:r w:rsidR="00E23612" w:rsidRPr="00316CD9">
        <w:t xml:space="preserve"> </w:t>
      </w:r>
    </w:p>
    <w:p w14:paraId="4BB17611" w14:textId="4F87D1EA" w:rsidR="00177809" w:rsidRPr="00316CD9" w:rsidRDefault="00126FC3" w:rsidP="00126FC3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316CD9">
        <w:rPr>
          <w:lang w:val="hr-HR"/>
        </w:rPr>
        <w:t>Projicirani dio prihoda</w:t>
      </w:r>
      <w:r w:rsidR="00177809" w:rsidRPr="00316CD9">
        <w:rPr>
          <w:lang w:val="hr-HR"/>
        </w:rPr>
        <w:t xml:space="preserve"> od neizravnih poreza na ime financiranja autocesta u FBiH (analitički konto 717114) iznosi </w:t>
      </w:r>
      <w:r w:rsidR="008C54B8" w:rsidRPr="00316CD9">
        <w:rPr>
          <w:lang w:val="hr-HR"/>
        </w:rPr>
        <w:t>365.490</w:t>
      </w:r>
      <w:r w:rsidR="000A4C3C" w:rsidRPr="00316CD9">
        <w:rPr>
          <w:lang w:val="hr-HR"/>
        </w:rPr>
        <w:t xml:space="preserve"> KM.</w:t>
      </w:r>
      <w:r w:rsidR="00177809" w:rsidRPr="00316CD9">
        <w:rPr>
          <w:lang w:val="hr-HR"/>
        </w:rPr>
        <w:t xml:space="preserve"> Planirano ostvarenje ovih prihoda u </w:t>
      </w:r>
      <w:r w:rsidR="008C54B8" w:rsidRPr="00316CD9">
        <w:rPr>
          <w:lang w:val="hr-HR"/>
        </w:rPr>
        <w:t>2025</w:t>
      </w:r>
      <w:r w:rsidR="00177809" w:rsidRPr="00316CD9">
        <w:rPr>
          <w:lang w:val="hr-HR"/>
        </w:rPr>
        <w:t xml:space="preserve">. godini u odnosu na plan za </w:t>
      </w:r>
      <w:r w:rsidR="008C54B8" w:rsidRPr="00316CD9">
        <w:rPr>
          <w:lang w:val="hr-HR"/>
        </w:rPr>
        <w:t>2024</w:t>
      </w:r>
      <w:r w:rsidR="00177809" w:rsidRPr="00316CD9">
        <w:rPr>
          <w:lang w:val="hr-HR"/>
        </w:rPr>
        <w:t xml:space="preserve">. godinu </w:t>
      </w:r>
      <w:r w:rsidR="000447E4" w:rsidRPr="00316CD9">
        <w:rPr>
          <w:lang w:val="hr-HR"/>
        </w:rPr>
        <w:t>veće</w:t>
      </w:r>
      <w:r w:rsidR="00177809" w:rsidRPr="00316CD9">
        <w:rPr>
          <w:lang w:val="hr-HR"/>
        </w:rPr>
        <w:t xml:space="preserve"> je za </w:t>
      </w:r>
      <w:r w:rsidR="00C13E2B" w:rsidRPr="00316CD9">
        <w:rPr>
          <w:lang w:val="hr-HR"/>
        </w:rPr>
        <w:t>2,</w:t>
      </w:r>
      <w:r w:rsidR="008C54B8" w:rsidRPr="00316CD9">
        <w:rPr>
          <w:lang w:val="hr-HR"/>
        </w:rPr>
        <w:t>81</w:t>
      </w:r>
      <w:r w:rsidR="00177809" w:rsidRPr="00316CD9">
        <w:rPr>
          <w:lang w:val="hr-HR"/>
        </w:rPr>
        <w:t xml:space="preserve">%, odnosno za </w:t>
      </w:r>
      <w:r w:rsidR="00C13E2B" w:rsidRPr="00316CD9">
        <w:rPr>
          <w:lang w:val="hr-HR"/>
        </w:rPr>
        <w:t>9.</w:t>
      </w:r>
      <w:r w:rsidR="005429D5" w:rsidRPr="00316CD9">
        <w:rPr>
          <w:lang w:val="hr-HR"/>
        </w:rPr>
        <w:t>98</w:t>
      </w:r>
      <w:r w:rsidR="00C13E2B" w:rsidRPr="00316CD9">
        <w:rPr>
          <w:lang w:val="hr-HR"/>
        </w:rPr>
        <w:t>0</w:t>
      </w:r>
      <w:r w:rsidR="00177809" w:rsidRPr="00316CD9">
        <w:rPr>
          <w:lang w:val="hr-HR"/>
        </w:rPr>
        <w:t xml:space="preserve"> KM.</w:t>
      </w:r>
    </w:p>
    <w:p w14:paraId="720B5086" w14:textId="7CF46412" w:rsidR="00991536" w:rsidRPr="00316CD9" w:rsidRDefault="00177809" w:rsidP="00126FC3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Prihodi od neizravnih poreza koji pripadaju županijama (analitički konto 717121) planirani su u iznosu od </w:t>
      </w:r>
      <w:r w:rsidR="00592A12" w:rsidRPr="00316CD9">
        <w:rPr>
          <w:lang w:val="hr-HR"/>
        </w:rPr>
        <w:t>45.559.980</w:t>
      </w:r>
      <w:r w:rsidRPr="00316CD9">
        <w:rPr>
          <w:lang w:val="hr-HR"/>
        </w:rPr>
        <w:t xml:space="preserve"> KM, što je </w:t>
      </w:r>
      <w:r w:rsidR="00F34FD2" w:rsidRPr="00316CD9">
        <w:rPr>
          <w:lang w:val="hr-HR"/>
        </w:rPr>
        <w:t>8,08</w:t>
      </w:r>
      <w:r w:rsidRPr="00316CD9">
        <w:rPr>
          <w:lang w:val="hr-HR"/>
        </w:rPr>
        <w:t xml:space="preserve">% </w:t>
      </w:r>
      <w:r w:rsidR="00991536" w:rsidRPr="00316CD9">
        <w:rPr>
          <w:lang w:val="hr-HR"/>
        </w:rPr>
        <w:t>više</w:t>
      </w:r>
      <w:r w:rsidRPr="00316CD9">
        <w:rPr>
          <w:lang w:val="hr-HR"/>
        </w:rPr>
        <w:t xml:space="preserve"> od plana ovih prihoda za </w:t>
      </w:r>
      <w:r w:rsidR="00F34FD2" w:rsidRPr="00316CD9">
        <w:rPr>
          <w:lang w:val="hr-HR"/>
        </w:rPr>
        <w:t>2024</w:t>
      </w:r>
      <w:r w:rsidRPr="00316CD9">
        <w:rPr>
          <w:lang w:val="hr-HR"/>
        </w:rPr>
        <w:t xml:space="preserve">. godinu, odnosno </w:t>
      </w:r>
      <w:r w:rsidR="00F34FD2" w:rsidRPr="00316CD9">
        <w:rPr>
          <w:lang w:val="hr-HR"/>
        </w:rPr>
        <w:t>3.406.850</w:t>
      </w:r>
      <w:r w:rsidRPr="00316CD9">
        <w:rPr>
          <w:lang w:val="hr-HR"/>
        </w:rPr>
        <w:t xml:space="preserve"> KM </w:t>
      </w:r>
      <w:r w:rsidR="00991536" w:rsidRPr="00316CD9">
        <w:rPr>
          <w:lang w:val="hr-HR"/>
        </w:rPr>
        <w:t>više</w:t>
      </w:r>
      <w:r w:rsidRPr="00316CD9">
        <w:rPr>
          <w:lang w:val="hr-HR"/>
        </w:rPr>
        <w:t>.</w:t>
      </w:r>
      <w:r w:rsidR="000A4C3C" w:rsidRPr="00316CD9">
        <w:rPr>
          <w:lang w:val="hr-HR"/>
        </w:rPr>
        <w:t xml:space="preserve"> </w:t>
      </w:r>
    </w:p>
    <w:p w14:paraId="371D2987" w14:textId="61BCBDCC" w:rsidR="00177809" w:rsidRPr="00316CD9" w:rsidRDefault="00E23612" w:rsidP="00126FC3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Planirani prihodi od neizravnih poreza koji pripadaju Direkciji cesta (analitički konto 717131) u </w:t>
      </w:r>
      <w:r w:rsidR="00F34FD2" w:rsidRPr="00316CD9">
        <w:rPr>
          <w:lang w:val="hr-HR"/>
        </w:rPr>
        <w:t>2025</w:t>
      </w:r>
      <w:r w:rsidRPr="00316CD9">
        <w:rPr>
          <w:lang w:val="hr-HR"/>
        </w:rPr>
        <w:t xml:space="preserve">. godini iznose </w:t>
      </w:r>
      <w:r w:rsidR="009C742B" w:rsidRPr="00316CD9">
        <w:rPr>
          <w:lang w:val="hr-HR"/>
        </w:rPr>
        <w:t>1.337.690</w:t>
      </w:r>
      <w:r w:rsidRPr="00316CD9">
        <w:rPr>
          <w:lang w:val="hr-HR"/>
        </w:rPr>
        <w:t xml:space="preserve"> KM, što je </w:t>
      </w:r>
      <w:r w:rsidR="00F33ABA" w:rsidRPr="00316CD9">
        <w:rPr>
          <w:lang w:val="hr-HR"/>
        </w:rPr>
        <w:t>34,30</w:t>
      </w:r>
      <w:r w:rsidRPr="00316CD9">
        <w:rPr>
          <w:lang w:val="hr-HR"/>
        </w:rPr>
        <w:t xml:space="preserve">% </w:t>
      </w:r>
      <w:r w:rsidR="00BE32B0" w:rsidRPr="00316CD9">
        <w:rPr>
          <w:lang w:val="hr-HR"/>
        </w:rPr>
        <w:t>manje</w:t>
      </w:r>
      <w:r w:rsidRPr="00316CD9">
        <w:rPr>
          <w:lang w:val="hr-HR"/>
        </w:rPr>
        <w:t xml:space="preserve"> u odnosu na njihov plan iz </w:t>
      </w:r>
      <w:r w:rsidR="00BE32B0" w:rsidRPr="00316CD9">
        <w:rPr>
          <w:lang w:val="hr-HR"/>
        </w:rPr>
        <w:t>2024</w:t>
      </w:r>
      <w:r w:rsidRPr="00316CD9">
        <w:rPr>
          <w:lang w:val="hr-HR"/>
        </w:rPr>
        <w:t xml:space="preserve">. godine, odnosno </w:t>
      </w:r>
      <w:r w:rsidR="00BE32B0" w:rsidRPr="00316CD9">
        <w:rPr>
          <w:lang w:val="hr-HR"/>
        </w:rPr>
        <w:t>698.482</w:t>
      </w:r>
      <w:r w:rsidRPr="00316CD9">
        <w:rPr>
          <w:lang w:val="hr-HR"/>
        </w:rPr>
        <w:t xml:space="preserve"> KM </w:t>
      </w:r>
      <w:r w:rsidR="00BE32B0" w:rsidRPr="00316CD9">
        <w:rPr>
          <w:lang w:val="hr-HR"/>
        </w:rPr>
        <w:t>manje</w:t>
      </w:r>
      <w:r w:rsidRPr="00316CD9">
        <w:rPr>
          <w:lang w:val="hr-HR"/>
        </w:rPr>
        <w:t>.</w:t>
      </w:r>
      <w:r w:rsidR="00F33ABA" w:rsidRPr="00316CD9">
        <w:rPr>
          <w:lang w:val="hr-HR"/>
        </w:rPr>
        <w:t xml:space="preserve"> </w:t>
      </w:r>
      <w:r w:rsidR="002078E4" w:rsidRPr="00316CD9">
        <w:rPr>
          <w:lang w:val="hr-HR"/>
        </w:rPr>
        <w:t>Pritom</w:t>
      </w:r>
      <w:r w:rsidR="0018516D" w:rsidRPr="00316CD9">
        <w:rPr>
          <w:lang w:val="hr-HR"/>
        </w:rPr>
        <w:t xml:space="preserve">, projicirani iznos ovih prihoda iz raspodjele za 2025. godinu iznosi </w:t>
      </w:r>
      <w:r w:rsidR="00550BEA" w:rsidRPr="00316CD9">
        <w:rPr>
          <w:lang w:val="hr-HR"/>
        </w:rPr>
        <w:t>1.238.690 KM (što je 91.510 KM ili 7,98% više nego</w:t>
      </w:r>
      <w:r w:rsidR="00FF726A" w:rsidRPr="00316CD9">
        <w:rPr>
          <w:lang w:val="hr-HR"/>
        </w:rPr>
        <w:t xml:space="preserve"> iznos planirane raspodjele za 2024. godinu), dok je radi plana namjenske potrošnje </w:t>
      </w:r>
      <w:r w:rsidR="003E038E" w:rsidRPr="00316CD9">
        <w:rPr>
          <w:lang w:val="hr-HR"/>
        </w:rPr>
        <w:t xml:space="preserve">na tekuće i investicijsko održavanje cesta u 2025. godini planiran i iznos od 99.000 KM </w:t>
      </w:r>
      <w:r w:rsidR="001963FF" w:rsidRPr="00316CD9">
        <w:rPr>
          <w:lang w:val="hr-HR"/>
        </w:rPr>
        <w:t xml:space="preserve">prihoda iz ranijih razdoblja razgraničenih za buduću potrošnju (u 2024. godini </w:t>
      </w:r>
      <w:r w:rsidR="00E31131" w:rsidRPr="00316CD9">
        <w:rPr>
          <w:lang w:val="hr-HR"/>
        </w:rPr>
        <w:t>plan potrošnje razgraničenih prihoda iznosi 888.992 KM).</w:t>
      </w:r>
    </w:p>
    <w:p w14:paraId="74CEFBD4" w14:textId="2B0C403C" w:rsidR="00991536" w:rsidRPr="00316CD9" w:rsidRDefault="00CA1958" w:rsidP="00991536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Plan prihoda od neizravnih poreza Županije Posavske u </w:t>
      </w:r>
      <w:r w:rsidR="00C86691" w:rsidRPr="00316CD9">
        <w:rPr>
          <w:lang w:val="hr-HR"/>
        </w:rPr>
        <w:t>2025</w:t>
      </w:r>
      <w:r w:rsidRPr="00316CD9">
        <w:rPr>
          <w:lang w:val="hr-HR"/>
        </w:rPr>
        <w:t xml:space="preserve">. godini zasniva se na projekcijama čiji je izračun utemeljen na makroekonomskim pokazateljima izrađenim od strane Direkcije za ekonomsko planiranje BiH (DEP), </w:t>
      </w:r>
      <w:r w:rsidR="00F97354" w:rsidRPr="00316CD9">
        <w:rPr>
          <w:lang w:val="hr-HR"/>
        </w:rPr>
        <w:t xml:space="preserve">revidiranim projekcijama prihoda po osnovi neizravnih i izravnih poreza za </w:t>
      </w:r>
      <w:r w:rsidR="00C86691" w:rsidRPr="00316CD9">
        <w:rPr>
          <w:lang w:val="hr-HR"/>
        </w:rPr>
        <w:t>2024</w:t>
      </w:r>
      <w:r w:rsidR="00F97354" w:rsidRPr="00316CD9">
        <w:rPr>
          <w:lang w:val="hr-HR"/>
        </w:rPr>
        <w:t>.</w:t>
      </w:r>
      <w:r w:rsidR="007D6908" w:rsidRPr="00316CD9">
        <w:rPr>
          <w:lang w:val="hr-HR"/>
        </w:rPr>
        <w:t xml:space="preserve"> </w:t>
      </w:r>
      <w:r w:rsidR="00F97354" w:rsidRPr="00316CD9">
        <w:rPr>
          <w:lang w:val="hr-HR"/>
        </w:rPr>
        <w:t>godinu i plan</w:t>
      </w:r>
      <w:r w:rsidR="005824CB" w:rsidRPr="00316CD9">
        <w:rPr>
          <w:lang w:val="hr-HR"/>
        </w:rPr>
        <w:t>om</w:t>
      </w:r>
      <w:r w:rsidR="007D6908" w:rsidRPr="00316CD9">
        <w:rPr>
          <w:lang w:val="hr-HR"/>
        </w:rPr>
        <w:t xml:space="preserve"> za razdoblje </w:t>
      </w:r>
      <w:r w:rsidR="00C86691" w:rsidRPr="00316CD9">
        <w:rPr>
          <w:lang w:val="hr-HR"/>
        </w:rPr>
        <w:t>2025</w:t>
      </w:r>
      <w:r w:rsidR="002A64A7" w:rsidRPr="00316CD9">
        <w:rPr>
          <w:lang w:val="hr-HR"/>
        </w:rPr>
        <w:t>.</w:t>
      </w:r>
      <w:r w:rsidR="00F97354" w:rsidRPr="00316CD9">
        <w:rPr>
          <w:lang w:val="hr-HR"/>
        </w:rPr>
        <w:t>-</w:t>
      </w:r>
      <w:r w:rsidR="00C86691" w:rsidRPr="00316CD9">
        <w:rPr>
          <w:lang w:val="hr-HR"/>
        </w:rPr>
        <w:t>2027</w:t>
      </w:r>
      <w:r w:rsidR="00F97354" w:rsidRPr="00316CD9">
        <w:rPr>
          <w:lang w:val="hr-HR"/>
        </w:rPr>
        <w:t xml:space="preserve">.godina, koje je izradilo Odjeljenje za makroekonomsku analizu (OMA) Uprave za neizravno oporezivanje BiH u </w:t>
      </w:r>
      <w:r w:rsidR="007D6908" w:rsidRPr="00316CD9">
        <w:rPr>
          <w:lang w:val="hr-HR"/>
        </w:rPr>
        <w:lastRenderedPageBreak/>
        <w:t>rujnu/</w:t>
      </w:r>
      <w:r w:rsidR="00F97354" w:rsidRPr="00316CD9">
        <w:rPr>
          <w:lang w:val="hr-HR"/>
        </w:rPr>
        <w:t xml:space="preserve">listopadu </w:t>
      </w:r>
      <w:r w:rsidR="00C86691" w:rsidRPr="00316CD9">
        <w:rPr>
          <w:lang w:val="hr-HR"/>
        </w:rPr>
        <w:t>2024</w:t>
      </w:r>
      <w:r w:rsidR="00F97354" w:rsidRPr="00316CD9">
        <w:rPr>
          <w:lang w:val="hr-HR"/>
        </w:rPr>
        <w:t>. godine</w:t>
      </w:r>
      <w:r w:rsidRPr="00316CD9">
        <w:rPr>
          <w:lang w:val="hr-HR"/>
        </w:rPr>
        <w:t>.</w:t>
      </w:r>
      <w:r w:rsidR="002A64A7" w:rsidRPr="00316CD9">
        <w:rPr>
          <w:lang w:val="hr-HR"/>
        </w:rPr>
        <w:t xml:space="preserve"> </w:t>
      </w:r>
      <w:r w:rsidR="0086488C" w:rsidRPr="00316CD9">
        <w:rPr>
          <w:lang w:val="hr-HR"/>
        </w:rPr>
        <w:t>Ista se zasniva</w:t>
      </w:r>
      <w:r w:rsidR="00991536" w:rsidRPr="00316CD9">
        <w:rPr>
          <w:lang w:val="hr-HR"/>
        </w:rPr>
        <w:t xml:space="preserve"> na srednjoročnom Planu naplate ukupnih prihoda na Jedinstvenom računu, srednjoročnim prognozama kretanja krajnje potrošnje i planu otplate vanjskog duga u razdoblju </w:t>
      </w:r>
      <w:r w:rsidR="00C86691" w:rsidRPr="00316CD9">
        <w:rPr>
          <w:lang w:val="hr-HR"/>
        </w:rPr>
        <w:t>2024</w:t>
      </w:r>
      <w:r w:rsidR="00991536" w:rsidRPr="00316CD9">
        <w:rPr>
          <w:lang w:val="hr-HR"/>
        </w:rPr>
        <w:t>.-</w:t>
      </w:r>
      <w:r w:rsidR="001F4481" w:rsidRPr="00316CD9">
        <w:rPr>
          <w:lang w:val="hr-HR"/>
        </w:rPr>
        <w:t>202</w:t>
      </w:r>
      <w:r w:rsidR="00C86691" w:rsidRPr="00316CD9">
        <w:rPr>
          <w:lang w:val="hr-HR"/>
        </w:rPr>
        <w:t>7</w:t>
      </w:r>
      <w:r w:rsidR="00991536" w:rsidRPr="00316CD9">
        <w:rPr>
          <w:lang w:val="hr-HR"/>
        </w:rPr>
        <w:t>. godina.</w:t>
      </w:r>
      <w:r w:rsidR="0086488C" w:rsidRPr="00316CD9">
        <w:rPr>
          <w:lang w:val="hr-HR"/>
        </w:rPr>
        <w:t xml:space="preserve"> </w:t>
      </w:r>
    </w:p>
    <w:p w14:paraId="67975A79" w14:textId="77777777" w:rsidR="00CA1958" w:rsidRPr="00316CD9" w:rsidRDefault="00CA1958">
      <w:pPr>
        <w:jc w:val="both"/>
        <w:rPr>
          <w:sz w:val="16"/>
          <w:szCs w:val="16"/>
          <w:lang w:val="hr-HR"/>
        </w:rPr>
      </w:pPr>
    </w:p>
    <w:p w14:paraId="3476D24A" w14:textId="77777777" w:rsidR="00CA1958" w:rsidRPr="00316CD9" w:rsidRDefault="00CA1958">
      <w:pPr>
        <w:pStyle w:val="Naslov3"/>
        <w:ind w:firstLine="720"/>
        <w:jc w:val="both"/>
      </w:pPr>
      <w:r w:rsidRPr="00316CD9">
        <w:t>Ostali porezi</w:t>
      </w:r>
    </w:p>
    <w:p w14:paraId="4D6E1DCD" w14:textId="054B44D1" w:rsidR="00CA1958" w:rsidRPr="00316CD9" w:rsidRDefault="00CA1958">
      <w:pPr>
        <w:pStyle w:val="Tijeloteksta"/>
        <w:ind w:firstLine="720"/>
      </w:pPr>
      <w:r w:rsidRPr="00316CD9">
        <w:t xml:space="preserve">Proračunom za </w:t>
      </w:r>
      <w:r w:rsidR="00C86691" w:rsidRPr="00316CD9">
        <w:t>2025</w:t>
      </w:r>
      <w:r w:rsidRPr="00316CD9">
        <w:t xml:space="preserve">. godinu </w:t>
      </w:r>
      <w:r w:rsidR="00C86691" w:rsidRPr="00316CD9">
        <w:t xml:space="preserve">planirani </w:t>
      </w:r>
      <w:r w:rsidRPr="00316CD9">
        <w:t xml:space="preserve">su prihodi po osnovi ostalih poreza (potkategorija 719000) u iznosu od </w:t>
      </w:r>
      <w:r w:rsidR="00C86691" w:rsidRPr="00316CD9">
        <w:t>230</w:t>
      </w:r>
      <w:r w:rsidRPr="00316CD9">
        <w:t xml:space="preserve"> KM na temelju izvršenja ovih prihoda u </w:t>
      </w:r>
      <w:r w:rsidR="00C86691" w:rsidRPr="00316CD9">
        <w:t>2024</w:t>
      </w:r>
      <w:r w:rsidRPr="00316CD9">
        <w:t>. godi</w:t>
      </w:r>
      <w:r w:rsidR="0054530D" w:rsidRPr="00316CD9">
        <w:t>ni</w:t>
      </w:r>
      <w:r w:rsidRPr="00316CD9">
        <w:t>.</w:t>
      </w:r>
    </w:p>
    <w:p w14:paraId="147A0ECD" w14:textId="77777777" w:rsidR="000A4C3C" w:rsidRPr="00316CD9" w:rsidRDefault="000A4C3C">
      <w:pPr>
        <w:pStyle w:val="Uvuenotijeloteksta"/>
        <w:spacing w:line="240" w:lineRule="auto"/>
        <w:jc w:val="left"/>
        <w:rPr>
          <w:b/>
          <w:bCs/>
          <w:color w:val="000000" w:themeColor="text1"/>
        </w:rPr>
      </w:pPr>
    </w:p>
    <w:p w14:paraId="29969355" w14:textId="77777777" w:rsidR="000A4C3C" w:rsidRPr="00316CD9" w:rsidRDefault="000A4C3C">
      <w:pPr>
        <w:pStyle w:val="Uvuenotijeloteksta"/>
        <w:spacing w:line="240" w:lineRule="auto"/>
        <w:jc w:val="left"/>
        <w:rPr>
          <w:b/>
          <w:bCs/>
          <w:color w:val="000000" w:themeColor="text1"/>
        </w:rPr>
      </w:pPr>
    </w:p>
    <w:p w14:paraId="109EFAF3" w14:textId="77777777" w:rsidR="00CA1958" w:rsidRPr="00316CD9" w:rsidRDefault="00CA1958">
      <w:pPr>
        <w:pStyle w:val="Uvuenotijeloteksta"/>
        <w:spacing w:line="240" w:lineRule="auto"/>
        <w:jc w:val="left"/>
        <w:rPr>
          <w:b/>
          <w:bCs/>
          <w:color w:val="000000" w:themeColor="text1"/>
        </w:rPr>
      </w:pPr>
      <w:r w:rsidRPr="00316CD9">
        <w:rPr>
          <w:b/>
          <w:bCs/>
          <w:color w:val="000000" w:themeColor="text1"/>
        </w:rPr>
        <w:t xml:space="preserve">4.1.2 </w:t>
      </w:r>
      <w:r w:rsidRPr="00316CD9">
        <w:rPr>
          <w:b/>
          <w:bCs/>
          <w:color w:val="000000" w:themeColor="text1"/>
        </w:rPr>
        <w:tab/>
        <w:t>NEPOREZNI PRIHODI</w:t>
      </w:r>
    </w:p>
    <w:p w14:paraId="3E0DF24D" w14:textId="77777777" w:rsidR="00CA1958" w:rsidRPr="00316CD9" w:rsidRDefault="00CA1958">
      <w:pPr>
        <w:pStyle w:val="Uvuenotijeloteksta"/>
        <w:spacing w:line="240" w:lineRule="auto"/>
        <w:ind w:firstLine="0"/>
        <w:jc w:val="left"/>
        <w:rPr>
          <w:b/>
          <w:bCs/>
        </w:rPr>
      </w:pPr>
    </w:p>
    <w:p w14:paraId="38154C64" w14:textId="164827EF" w:rsidR="00CA1958" w:rsidRPr="00316CD9" w:rsidRDefault="00CA1958">
      <w:pPr>
        <w:tabs>
          <w:tab w:val="left" w:pos="0"/>
        </w:tabs>
        <w:jc w:val="both"/>
        <w:rPr>
          <w:lang w:val="hr-HR"/>
        </w:rPr>
      </w:pPr>
      <w:r w:rsidRPr="00316CD9">
        <w:rPr>
          <w:b/>
          <w:bCs/>
          <w:lang w:val="hr-HR"/>
        </w:rPr>
        <w:tab/>
      </w:r>
      <w:r w:rsidRPr="00316CD9">
        <w:rPr>
          <w:bCs/>
          <w:lang w:val="hr-HR"/>
        </w:rPr>
        <w:t>N</w:t>
      </w:r>
      <w:r w:rsidRPr="00316CD9">
        <w:rPr>
          <w:lang w:val="hr-HR"/>
        </w:rPr>
        <w:t xml:space="preserve">eporezni prihodi (kategorija 720000) su Proračunom za </w:t>
      </w:r>
      <w:r w:rsidR="0006219B" w:rsidRPr="00316CD9">
        <w:rPr>
          <w:lang w:val="hr-HR"/>
        </w:rPr>
        <w:t>2025</w:t>
      </w:r>
      <w:r w:rsidRPr="00316CD9">
        <w:rPr>
          <w:lang w:val="hr-HR"/>
        </w:rPr>
        <w:t xml:space="preserve">. godinu planirani u iznosu od </w:t>
      </w:r>
      <w:r w:rsidR="00C96C45" w:rsidRPr="00316CD9">
        <w:rPr>
          <w:lang w:val="hr-HR"/>
        </w:rPr>
        <w:t>3.</w:t>
      </w:r>
      <w:r w:rsidR="002075AC">
        <w:rPr>
          <w:lang w:val="hr-HR"/>
        </w:rPr>
        <w:t>650</w:t>
      </w:r>
      <w:r w:rsidR="00C96C45" w:rsidRPr="00316CD9">
        <w:rPr>
          <w:lang w:val="hr-HR"/>
        </w:rPr>
        <w:t>.</w:t>
      </w:r>
      <w:r w:rsidR="00406976" w:rsidRPr="00316CD9">
        <w:rPr>
          <w:lang w:val="hr-HR"/>
        </w:rPr>
        <w:t>7</w:t>
      </w:r>
      <w:r w:rsidR="002075AC">
        <w:rPr>
          <w:lang w:val="hr-HR"/>
        </w:rPr>
        <w:t>5</w:t>
      </w:r>
      <w:r w:rsidR="00C96C45" w:rsidRPr="00316CD9">
        <w:rPr>
          <w:lang w:val="hr-HR"/>
        </w:rPr>
        <w:t>0</w:t>
      </w:r>
      <w:r w:rsidRPr="00316CD9">
        <w:rPr>
          <w:lang w:val="hr-HR"/>
        </w:rPr>
        <w:t xml:space="preserve"> KM. U odnosu na plan prethodne godine ovi prihodi su </w:t>
      </w:r>
      <w:r w:rsidR="00C96C45" w:rsidRPr="00316CD9">
        <w:rPr>
          <w:lang w:val="hr-HR"/>
        </w:rPr>
        <w:t>manji</w:t>
      </w:r>
      <w:r w:rsidRPr="00316CD9">
        <w:rPr>
          <w:lang w:val="hr-HR"/>
        </w:rPr>
        <w:t xml:space="preserve"> za </w:t>
      </w:r>
      <w:r w:rsidR="006D5AAF">
        <w:rPr>
          <w:lang w:val="hr-HR"/>
        </w:rPr>
        <w:t>6,35</w:t>
      </w:r>
      <w:r w:rsidRPr="00316CD9">
        <w:rPr>
          <w:lang w:val="hr-HR"/>
        </w:rPr>
        <w:t xml:space="preserve">% odnosno u apsolutnom iznosu </w:t>
      </w:r>
      <w:r w:rsidR="00D92190" w:rsidRPr="00316CD9">
        <w:rPr>
          <w:lang w:val="hr-HR"/>
        </w:rPr>
        <w:t>manji</w:t>
      </w:r>
      <w:r w:rsidRPr="00316CD9">
        <w:rPr>
          <w:lang w:val="hr-HR"/>
        </w:rPr>
        <w:t xml:space="preserve"> za </w:t>
      </w:r>
      <w:r w:rsidR="006D5AAF">
        <w:rPr>
          <w:lang w:val="hr-HR"/>
        </w:rPr>
        <w:t>247</w:t>
      </w:r>
      <w:r w:rsidR="00D92190" w:rsidRPr="00316CD9">
        <w:rPr>
          <w:lang w:val="hr-HR"/>
        </w:rPr>
        <w:t>.</w:t>
      </w:r>
      <w:r w:rsidR="006D5AAF">
        <w:rPr>
          <w:lang w:val="hr-HR"/>
        </w:rPr>
        <w:t>38</w:t>
      </w:r>
      <w:r w:rsidR="00D92190" w:rsidRPr="00316CD9">
        <w:rPr>
          <w:lang w:val="hr-HR"/>
        </w:rPr>
        <w:t>4</w:t>
      </w:r>
      <w:r w:rsidRPr="00316CD9">
        <w:rPr>
          <w:lang w:val="hr-HR"/>
        </w:rPr>
        <w:t xml:space="preserve"> KM.</w:t>
      </w:r>
    </w:p>
    <w:p w14:paraId="242058B2" w14:textId="77777777" w:rsidR="00CA1958" w:rsidRPr="00316CD9" w:rsidRDefault="00CA1958">
      <w:pPr>
        <w:tabs>
          <w:tab w:val="left" w:pos="0"/>
        </w:tabs>
        <w:jc w:val="both"/>
        <w:rPr>
          <w:sz w:val="16"/>
          <w:szCs w:val="16"/>
          <w:lang w:val="hr-HR"/>
        </w:rPr>
      </w:pPr>
    </w:p>
    <w:p w14:paraId="07F75944" w14:textId="77777777" w:rsidR="00CA1958" w:rsidRPr="00316CD9" w:rsidRDefault="00CA1958">
      <w:pPr>
        <w:pStyle w:val="Naslov3"/>
        <w:ind w:left="720"/>
        <w:jc w:val="both"/>
      </w:pPr>
      <w:r w:rsidRPr="00316CD9">
        <w:t>Prihodi od poduzetničkih aktivnosti i imovine i prihodi od pozitivnih tečajnih razlika</w:t>
      </w:r>
    </w:p>
    <w:p w14:paraId="37284CD0" w14:textId="7AD1C1DD" w:rsidR="00CA1958" w:rsidRPr="00316CD9" w:rsidRDefault="00CA1958">
      <w:pPr>
        <w:jc w:val="both"/>
        <w:rPr>
          <w:lang w:val="hr-HR"/>
        </w:rPr>
      </w:pPr>
      <w:r w:rsidRPr="00316CD9">
        <w:rPr>
          <w:b/>
          <w:bCs/>
          <w:lang w:val="hr-HR"/>
        </w:rPr>
        <w:t xml:space="preserve">          </w:t>
      </w:r>
      <w:r w:rsidRPr="00316CD9">
        <w:rPr>
          <w:b/>
          <w:bCs/>
          <w:lang w:val="hr-HR"/>
        </w:rPr>
        <w:tab/>
      </w:r>
      <w:r w:rsidRPr="00316CD9">
        <w:rPr>
          <w:lang w:val="hr-HR"/>
        </w:rPr>
        <w:t xml:space="preserve">Prihodi od poduzetničkih aktivnosti i imovine i prihodi od pozitivnih tečajnih razlika (potkategorija 721000) planirani su u visini od </w:t>
      </w:r>
      <w:r w:rsidR="005B1C6A">
        <w:rPr>
          <w:lang w:val="hr-HR"/>
        </w:rPr>
        <w:t>151</w:t>
      </w:r>
      <w:r w:rsidR="00D92190" w:rsidRPr="00316CD9">
        <w:rPr>
          <w:lang w:val="hr-HR"/>
        </w:rPr>
        <w:t>.</w:t>
      </w:r>
      <w:r w:rsidR="00837207" w:rsidRPr="00316CD9">
        <w:rPr>
          <w:lang w:val="hr-HR"/>
        </w:rPr>
        <w:t>60</w:t>
      </w:r>
      <w:r w:rsidR="00D92190" w:rsidRPr="00316CD9">
        <w:rPr>
          <w:lang w:val="hr-HR"/>
        </w:rPr>
        <w:t>0</w:t>
      </w:r>
      <w:r w:rsidRPr="00316CD9">
        <w:rPr>
          <w:lang w:val="hr-HR"/>
        </w:rPr>
        <w:t xml:space="preserve"> KM. Strukturu gore navedenih prihoda čine planirani prihodi od davanja prava na eksploataciju prirodnih resursa i prihodi od iznajmljivanja zemljišta, prihodi od kamata za depozite u banci</w:t>
      </w:r>
      <w:r w:rsidR="00012805" w:rsidRPr="00316CD9">
        <w:rPr>
          <w:lang w:val="hr-HR"/>
        </w:rPr>
        <w:t>,</w:t>
      </w:r>
      <w:r w:rsidRPr="00316CD9">
        <w:rPr>
          <w:lang w:val="hr-HR"/>
        </w:rPr>
        <w:t xml:space="preserve"> te prihodi od pozitivnih tečajnih razlika. U odnosu na planirano u </w:t>
      </w:r>
      <w:r w:rsidR="00D92190" w:rsidRPr="00316CD9">
        <w:rPr>
          <w:lang w:val="hr-HR"/>
        </w:rPr>
        <w:t>2024</w:t>
      </w:r>
      <w:r w:rsidRPr="00316CD9">
        <w:rPr>
          <w:lang w:val="hr-HR"/>
        </w:rPr>
        <w:t xml:space="preserve">. godini u fiskalnoj </w:t>
      </w:r>
      <w:r w:rsidR="00D92190" w:rsidRPr="00316CD9">
        <w:rPr>
          <w:lang w:val="hr-HR"/>
        </w:rPr>
        <w:t>2025</w:t>
      </w:r>
      <w:r w:rsidRPr="00316CD9">
        <w:rPr>
          <w:lang w:val="hr-HR"/>
        </w:rPr>
        <w:t xml:space="preserve">. godini, temeljem realnih pokazatelja, očekuje se </w:t>
      </w:r>
      <w:r w:rsidR="001F4481" w:rsidRPr="00316CD9">
        <w:rPr>
          <w:lang w:val="hr-HR"/>
        </w:rPr>
        <w:t>veća</w:t>
      </w:r>
      <w:r w:rsidR="0071255B" w:rsidRPr="00316CD9">
        <w:rPr>
          <w:lang w:val="hr-HR"/>
        </w:rPr>
        <w:t xml:space="preserve"> realizacija </w:t>
      </w:r>
      <w:r w:rsidRPr="00316CD9">
        <w:rPr>
          <w:lang w:val="hr-HR"/>
        </w:rPr>
        <w:t>prihod</w:t>
      </w:r>
      <w:r w:rsidR="0071255B" w:rsidRPr="00316CD9">
        <w:rPr>
          <w:lang w:val="hr-HR"/>
        </w:rPr>
        <w:t>a</w:t>
      </w:r>
      <w:r w:rsidRPr="00316CD9">
        <w:rPr>
          <w:lang w:val="hr-HR"/>
        </w:rPr>
        <w:t xml:space="preserve"> Ministarstva poljoprivrede, vodoprivrede i šumarstva</w:t>
      </w:r>
      <w:r w:rsidR="003344E8" w:rsidRPr="00316CD9">
        <w:rPr>
          <w:lang w:val="hr-HR"/>
        </w:rPr>
        <w:t xml:space="preserve"> Županije Posavske</w:t>
      </w:r>
      <w:r w:rsidRPr="00316CD9">
        <w:rPr>
          <w:lang w:val="hr-HR"/>
        </w:rPr>
        <w:t xml:space="preserve"> od iznajmljivanja zemljišta</w:t>
      </w:r>
      <w:r w:rsidR="003153A2" w:rsidRPr="00316CD9">
        <w:rPr>
          <w:lang w:val="hr-HR"/>
        </w:rPr>
        <w:t xml:space="preserve"> temeljem sklopljenih ugovora</w:t>
      </w:r>
      <w:r w:rsidR="001F4481" w:rsidRPr="00316CD9">
        <w:rPr>
          <w:lang w:val="hr-HR"/>
        </w:rPr>
        <w:t xml:space="preserve"> (u odnosu na </w:t>
      </w:r>
      <w:r w:rsidR="00DD22C4" w:rsidRPr="00316CD9">
        <w:rPr>
          <w:lang w:val="hr-HR"/>
        </w:rPr>
        <w:t>2024</w:t>
      </w:r>
      <w:r w:rsidR="001F4481" w:rsidRPr="00316CD9">
        <w:rPr>
          <w:lang w:val="hr-HR"/>
        </w:rPr>
        <w:t xml:space="preserve">. godinu povećanje od </w:t>
      </w:r>
      <w:r w:rsidR="00251C40" w:rsidRPr="00316CD9">
        <w:rPr>
          <w:lang w:val="hr-HR"/>
        </w:rPr>
        <w:t>17.880</w:t>
      </w:r>
      <w:r w:rsidR="001F4481" w:rsidRPr="00316CD9">
        <w:rPr>
          <w:lang w:val="hr-HR"/>
        </w:rPr>
        <w:t xml:space="preserve"> KM)</w:t>
      </w:r>
      <w:r w:rsidR="00251C40" w:rsidRPr="00316CD9">
        <w:rPr>
          <w:lang w:val="hr-HR"/>
        </w:rPr>
        <w:t>, kao i veća realizacija prihoda od davanja prava na eksploataciju prirodnih resursa</w:t>
      </w:r>
      <w:r w:rsidR="00A00D2B" w:rsidRPr="00316CD9">
        <w:rPr>
          <w:lang w:val="hr-HR"/>
        </w:rPr>
        <w:t xml:space="preserve"> na temelju sklopljenih ugovora o koncesiji </w:t>
      </w:r>
    </w:p>
    <w:p w14:paraId="20178980" w14:textId="77777777" w:rsidR="00CA1958" w:rsidRPr="00316CD9" w:rsidRDefault="00CA1958">
      <w:pPr>
        <w:jc w:val="both"/>
        <w:rPr>
          <w:sz w:val="16"/>
          <w:szCs w:val="16"/>
          <w:lang w:val="hr-HR"/>
        </w:rPr>
      </w:pPr>
      <w:r w:rsidRPr="00316CD9">
        <w:rPr>
          <w:lang w:val="hr-HR"/>
        </w:rPr>
        <w:t xml:space="preserve"> </w:t>
      </w:r>
    </w:p>
    <w:p w14:paraId="4202C758" w14:textId="77777777" w:rsidR="00CA1958" w:rsidRPr="00316CD9" w:rsidRDefault="00CA1958">
      <w:pPr>
        <w:pStyle w:val="Naslov3"/>
        <w:ind w:firstLine="720"/>
        <w:jc w:val="both"/>
      </w:pPr>
      <w:r w:rsidRPr="00316CD9">
        <w:t>Naknade i pristojbe i prihodi od pružanja javnih usluga</w:t>
      </w:r>
    </w:p>
    <w:p w14:paraId="7FA65E9F" w14:textId="0DDBB1E5" w:rsidR="00CA1958" w:rsidRPr="00316CD9" w:rsidRDefault="00CA1958" w:rsidP="00D85F26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Prihodi od naknada i pristojbi i prihodi od pružanja javnih usluga (potkategorija 722000) planirani su u visini od </w:t>
      </w:r>
      <w:r w:rsidR="006E685E" w:rsidRPr="00316CD9">
        <w:rPr>
          <w:lang w:val="hr-HR"/>
        </w:rPr>
        <w:t>2.</w:t>
      </w:r>
      <w:r w:rsidR="006C41F2">
        <w:rPr>
          <w:lang w:val="hr-HR"/>
        </w:rPr>
        <w:t>683</w:t>
      </w:r>
      <w:r w:rsidR="006E685E" w:rsidRPr="00316CD9">
        <w:rPr>
          <w:lang w:val="hr-HR"/>
        </w:rPr>
        <w:t>.</w:t>
      </w:r>
      <w:r w:rsidR="006C41F2">
        <w:rPr>
          <w:lang w:val="hr-HR"/>
        </w:rPr>
        <w:t>59</w:t>
      </w:r>
      <w:r w:rsidR="006E685E" w:rsidRPr="00316CD9">
        <w:rPr>
          <w:lang w:val="hr-HR"/>
        </w:rPr>
        <w:t>0</w:t>
      </w:r>
      <w:r w:rsidRPr="00316CD9">
        <w:rPr>
          <w:lang w:val="hr-HR"/>
        </w:rPr>
        <w:t xml:space="preserve"> KM, što predstavlja </w:t>
      </w:r>
      <w:r w:rsidR="006E685E" w:rsidRPr="00316CD9">
        <w:rPr>
          <w:lang w:val="hr-HR"/>
        </w:rPr>
        <w:t>smanjenje</w:t>
      </w:r>
      <w:r w:rsidRPr="00316CD9">
        <w:rPr>
          <w:lang w:val="hr-HR"/>
        </w:rPr>
        <w:t xml:space="preserve"> od </w:t>
      </w:r>
      <w:r w:rsidR="006C41F2">
        <w:rPr>
          <w:lang w:val="hr-HR"/>
        </w:rPr>
        <w:t>4,47</w:t>
      </w:r>
      <w:r w:rsidRPr="00316CD9">
        <w:rPr>
          <w:lang w:val="hr-HR"/>
        </w:rPr>
        <w:t xml:space="preserve">% u odnosu na plan </w:t>
      </w:r>
      <w:r w:rsidR="0008549A" w:rsidRPr="00316CD9">
        <w:rPr>
          <w:lang w:val="hr-HR"/>
        </w:rPr>
        <w:t>2024</w:t>
      </w:r>
      <w:r w:rsidRPr="00316CD9">
        <w:rPr>
          <w:lang w:val="hr-HR"/>
        </w:rPr>
        <w:t xml:space="preserve">. godine, odnosno u apsolutnom iznosu </w:t>
      </w:r>
      <w:r w:rsidR="0008549A" w:rsidRPr="00316CD9">
        <w:rPr>
          <w:lang w:val="hr-HR"/>
        </w:rPr>
        <w:t>smanjenje</w:t>
      </w:r>
      <w:r w:rsidRPr="00316CD9">
        <w:rPr>
          <w:lang w:val="hr-HR"/>
        </w:rPr>
        <w:t xml:space="preserve"> </w:t>
      </w:r>
      <w:r w:rsidR="0071255B" w:rsidRPr="00316CD9">
        <w:rPr>
          <w:lang w:val="hr-HR"/>
        </w:rPr>
        <w:t>za</w:t>
      </w:r>
      <w:r w:rsidRPr="00316CD9">
        <w:rPr>
          <w:lang w:val="hr-HR"/>
        </w:rPr>
        <w:t xml:space="preserve"> </w:t>
      </w:r>
      <w:r w:rsidR="00C53349">
        <w:rPr>
          <w:lang w:val="hr-HR"/>
        </w:rPr>
        <w:t>125</w:t>
      </w:r>
      <w:r w:rsidR="0008549A" w:rsidRPr="00316CD9">
        <w:rPr>
          <w:lang w:val="hr-HR"/>
        </w:rPr>
        <w:t>.</w:t>
      </w:r>
      <w:r w:rsidR="00865973" w:rsidRPr="00316CD9">
        <w:rPr>
          <w:lang w:val="hr-HR"/>
        </w:rPr>
        <w:t>4</w:t>
      </w:r>
      <w:r w:rsidR="00C53349">
        <w:rPr>
          <w:lang w:val="hr-HR"/>
        </w:rPr>
        <w:t>8</w:t>
      </w:r>
      <w:r w:rsidR="0008549A" w:rsidRPr="00316CD9">
        <w:rPr>
          <w:lang w:val="hr-HR"/>
        </w:rPr>
        <w:t>4</w:t>
      </w:r>
      <w:r w:rsidRPr="00316CD9">
        <w:rPr>
          <w:lang w:val="hr-HR"/>
        </w:rPr>
        <w:t xml:space="preserve"> KM. Plan za </w:t>
      </w:r>
      <w:r w:rsidR="0008549A" w:rsidRPr="00316CD9">
        <w:rPr>
          <w:lang w:val="hr-HR"/>
        </w:rPr>
        <w:t>2025</w:t>
      </w:r>
      <w:r w:rsidRPr="00316CD9">
        <w:rPr>
          <w:lang w:val="hr-HR"/>
        </w:rPr>
        <w:t xml:space="preserve">. godinu osobito se zasniva na analizi kretanja ovih prihoda u razdoblju </w:t>
      </w:r>
      <w:r w:rsidR="0008549A" w:rsidRPr="00316CD9">
        <w:rPr>
          <w:lang w:val="hr-HR"/>
        </w:rPr>
        <w:t>2019</w:t>
      </w:r>
      <w:r w:rsidRPr="00316CD9">
        <w:rPr>
          <w:lang w:val="hr-HR"/>
        </w:rPr>
        <w:t>.-</w:t>
      </w:r>
      <w:r w:rsidR="00931428" w:rsidRPr="00316CD9">
        <w:rPr>
          <w:lang w:val="hr-HR"/>
        </w:rPr>
        <w:t>202</w:t>
      </w:r>
      <w:r w:rsidR="0008549A" w:rsidRPr="00316CD9">
        <w:rPr>
          <w:lang w:val="hr-HR"/>
        </w:rPr>
        <w:t>4</w:t>
      </w:r>
      <w:r w:rsidR="0054530D" w:rsidRPr="00316CD9">
        <w:rPr>
          <w:lang w:val="hr-HR"/>
        </w:rPr>
        <w:t xml:space="preserve">. godina, uvažavajući specifičnosti </w:t>
      </w:r>
      <w:r w:rsidR="00CA18D5" w:rsidRPr="00316CD9">
        <w:rPr>
          <w:lang w:val="hr-HR"/>
        </w:rPr>
        <w:t>2020</w:t>
      </w:r>
      <w:r w:rsidR="0054530D" w:rsidRPr="00316CD9">
        <w:rPr>
          <w:lang w:val="hr-HR"/>
        </w:rPr>
        <w:t>. godine.</w:t>
      </w:r>
    </w:p>
    <w:p w14:paraId="2C88E9EE" w14:textId="401E228F" w:rsidR="00CA1958" w:rsidRPr="00316CD9" w:rsidRDefault="00CA1958" w:rsidP="00D85F26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Prihodi po osnovi administrativnih pristojbi (glavna grupa 722100) planirani su u iznosu od </w:t>
      </w:r>
      <w:r w:rsidR="00C53349">
        <w:rPr>
          <w:lang w:val="hr-HR"/>
        </w:rPr>
        <w:t>119.960</w:t>
      </w:r>
      <w:r w:rsidRPr="00316CD9">
        <w:rPr>
          <w:lang w:val="hr-HR"/>
        </w:rPr>
        <w:t xml:space="preserve"> KM i </w:t>
      </w:r>
      <w:r w:rsidR="0008549A" w:rsidRPr="00316CD9">
        <w:rPr>
          <w:lang w:val="hr-HR"/>
        </w:rPr>
        <w:t>manji</w:t>
      </w:r>
      <w:r w:rsidRPr="00316CD9">
        <w:rPr>
          <w:lang w:val="hr-HR"/>
        </w:rPr>
        <w:t xml:space="preserve"> su od plana za </w:t>
      </w:r>
      <w:r w:rsidR="0008549A" w:rsidRPr="00316CD9">
        <w:rPr>
          <w:lang w:val="hr-HR"/>
        </w:rPr>
        <w:t>2024</w:t>
      </w:r>
      <w:r w:rsidRPr="00316CD9">
        <w:rPr>
          <w:lang w:val="hr-HR"/>
        </w:rPr>
        <w:t xml:space="preserve">. godinu za </w:t>
      </w:r>
      <w:r w:rsidR="00B77A79">
        <w:rPr>
          <w:lang w:val="hr-HR"/>
        </w:rPr>
        <w:t>24,97</w:t>
      </w:r>
      <w:r w:rsidRPr="00316CD9">
        <w:rPr>
          <w:lang w:val="hr-HR"/>
        </w:rPr>
        <w:t>%</w:t>
      </w:r>
      <w:r w:rsidR="003153A2" w:rsidRPr="00316CD9">
        <w:rPr>
          <w:lang w:val="hr-HR"/>
        </w:rPr>
        <w:t>,</w:t>
      </w:r>
      <w:r w:rsidRPr="00316CD9">
        <w:rPr>
          <w:lang w:val="hr-HR"/>
        </w:rPr>
        <w:t xml:space="preserve"> ili u apsolutnom iznosu </w:t>
      </w:r>
      <w:r w:rsidR="008A38D0" w:rsidRPr="00316CD9">
        <w:rPr>
          <w:lang w:val="hr-HR"/>
        </w:rPr>
        <w:t>manji</w:t>
      </w:r>
      <w:r w:rsidRPr="00316CD9">
        <w:rPr>
          <w:lang w:val="hr-HR"/>
        </w:rPr>
        <w:t xml:space="preserve"> za </w:t>
      </w:r>
      <w:r w:rsidR="00BA1A70">
        <w:rPr>
          <w:lang w:val="hr-HR"/>
        </w:rPr>
        <w:t>39.930</w:t>
      </w:r>
      <w:r w:rsidRPr="00316CD9">
        <w:rPr>
          <w:lang w:val="hr-HR"/>
        </w:rPr>
        <w:t xml:space="preserve"> KM. </w:t>
      </w:r>
    </w:p>
    <w:p w14:paraId="1B832628" w14:textId="3215EA4F" w:rsidR="00CA1958" w:rsidRPr="00316CD9" w:rsidRDefault="00CA1958" w:rsidP="00D85F26">
      <w:pPr>
        <w:ind w:firstLine="720"/>
        <w:jc w:val="both"/>
        <w:rPr>
          <w:lang w:val="hr-HR"/>
        </w:rPr>
      </w:pPr>
      <w:r w:rsidRPr="00316CD9">
        <w:rPr>
          <w:lang w:val="hr-HR"/>
        </w:rPr>
        <w:t>Prihodi po osnovi sudskih pristojbi (gl</w:t>
      </w:r>
      <w:r w:rsidR="00CA18D5" w:rsidRPr="00316CD9">
        <w:rPr>
          <w:lang w:val="hr-HR"/>
        </w:rPr>
        <w:t xml:space="preserve">avna </w:t>
      </w:r>
      <w:r w:rsidRPr="00316CD9">
        <w:rPr>
          <w:lang w:val="hr-HR"/>
        </w:rPr>
        <w:t xml:space="preserve">grupa 722200) planirani su u iznosu od </w:t>
      </w:r>
      <w:r w:rsidR="00B77A79">
        <w:rPr>
          <w:lang w:val="hr-HR"/>
        </w:rPr>
        <w:t>351.860</w:t>
      </w:r>
      <w:r w:rsidRPr="00316CD9">
        <w:rPr>
          <w:lang w:val="hr-HR"/>
        </w:rPr>
        <w:t xml:space="preserve"> KM</w:t>
      </w:r>
      <w:r w:rsidR="003153A2" w:rsidRPr="00316CD9">
        <w:rPr>
          <w:lang w:val="hr-HR"/>
        </w:rPr>
        <w:t>,</w:t>
      </w:r>
      <w:r w:rsidRPr="00316CD9">
        <w:rPr>
          <w:lang w:val="hr-HR"/>
        </w:rPr>
        <w:t xml:space="preserve"> i </w:t>
      </w:r>
      <w:r w:rsidR="00033997" w:rsidRPr="00316CD9">
        <w:rPr>
          <w:lang w:val="hr-HR"/>
        </w:rPr>
        <w:t>manji</w:t>
      </w:r>
      <w:r w:rsidRPr="00316CD9">
        <w:rPr>
          <w:lang w:val="hr-HR"/>
        </w:rPr>
        <w:t xml:space="preserve"> su od plana za </w:t>
      </w:r>
      <w:r w:rsidR="00033997" w:rsidRPr="00316CD9">
        <w:rPr>
          <w:lang w:val="hr-HR"/>
        </w:rPr>
        <w:t>2024</w:t>
      </w:r>
      <w:r w:rsidRPr="00316CD9">
        <w:rPr>
          <w:lang w:val="hr-HR"/>
        </w:rPr>
        <w:t xml:space="preserve">. godinu za </w:t>
      </w:r>
      <w:r w:rsidR="0076240F" w:rsidRPr="00316CD9">
        <w:rPr>
          <w:lang w:val="hr-HR"/>
        </w:rPr>
        <w:t>8,</w:t>
      </w:r>
      <w:r w:rsidR="00B77A79">
        <w:rPr>
          <w:lang w:val="hr-HR"/>
        </w:rPr>
        <w:t>95</w:t>
      </w:r>
      <w:r w:rsidRPr="00316CD9">
        <w:rPr>
          <w:lang w:val="hr-HR"/>
        </w:rPr>
        <w:t>%</w:t>
      </w:r>
      <w:r w:rsidR="003153A2" w:rsidRPr="00316CD9">
        <w:rPr>
          <w:lang w:val="hr-HR"/>
        </w:rPr>
        <w:t>,</w:t>
      </w:r>
      <w:r w:rsidRPr="00316CD9">
        <w:rPr>
          <w:lang w:val="hr-HR"/>
        </w:rPr>
        <w:t xml:space="preserve"> ili u apsolutnom iznosu </w:t>
      </w:r>
      <w:r w:rsidR="00033997" w:rsidRPr="00316CD9">
        <w:rPr>
          <w:lang w:val="hr-HR"/>
        </w:rPr>
        <w:t>manji</w:t>
      </w:r>
      <w:r w:rsidRPr="00316CD9">
        <w:rPr>
          <w:lang w:val="hr-HR"/>
        </w:rPr>
        <w:t xml:space="preserve"> za </w:t>
      </w:r>
      <w:r w:rsidR="0093486A" w:rsidRPr="00316CD9">
        <w:rPr>
          <w:lang w:val="hr-HR"/>
        </w:rPr>
        <w:t>3</w:t>
      </w:r>
      <w:r w:rsidR="00AA77FB">
        <w:rPr>
          <w:lang w:val="hr-HR"/>
        </w:rPr>
        <w:t>4</w:t>
      </w:r>
      <w:r w:rsidR="0093486A" w:rsidRPr="00316CD9">
        <w:rPr>
          <w:lang w:val="hr-HR"/>
        </w:rPr>
        <w:t>.</w:t>
      </w:r>
      <w:r w:rsidR="00AA77FB">
        <w:rPr>
          <w:lang w:val="hr-HR"/>
        </w:rPr>
        <w:t>60</w:t>
      </w:r>
      <w:r w:rsidR="0093486A" w:rsidRPr="00316CD9">
        <w:rPr>
          <w:lang w:val="hr-HR"/>
        </w:rPr>
        <w:t>0</w:t>
      </w:r>
      <w:r w:rsidRPr="00316CD9">
        <w:rPr>
          <w:lang w:val="hr-HR"/>
        </w:rPr>
        <w:t xml:space="preserve"> KM. </w:t>
      </w:r>
    </w:p>
    <w:p w14:paraId="115B8614" w14:textId="197BE8EC" w:rsidR="00C76DC5" w:rsidRPr="00316CD9" w:rsidRDefault="00CA1958" w:rsidP="00D85F26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Prihodi po osnovi ostalih proračunskih naknada (glavna grupa 722400) planirani su u iznosu od </w:t>
      </w:r>
      <w:r w:rsidR="004B29B2" w:rsidRPr="00316CD9">
        <w:rPr>
          <w:lang w:val="hr-HR"/>
        </w:rPr>
        <w:t>443.090</w:t>
      </w:r>
      <w:r w:rsidRPr="00316CD9">
        <w:rPr>
          <w:lang w:val="hr-HR"/>
        </w:rPr>
        <w:t xml:space="preserve"> KM</w:t>
      </w:r>
      <w:r w:rsidR="003153A2" w:rsidRPr="00316CD9">
        <w:rPr>
          <w:lang w:val="hr-HR"/>
        </w:rPr>
        <w:t>,</w:t>
      </w:r>
      <w:r w:rsidRPr="00316CD9">
        <w:rPr>
          <w:lang w:val="hr-HR"/>
        </w:rPr>
        <w:t xml:space="preserve"> i </w:t>
      </w:r>
      <w:r w:rsidR="00CA18D5" w:rsidRPr="00316CD9">
        <w:rPr>
          <w:lang w:val="hr-HR"/>
        </w:rPr>
        <w:t>veći</w:t>
      </w:r>
      <w:r w:rsidR="00931428" w:rsidRPr="00316CD9">
        <w:rPr>
          <w:lang w:val="hr-HR"/>
        </w:rPr>
        <w:t xml:space="preserve"> su</w:t>
      </w:r>
      <w:r w:rsidRPr="00316CD9">
        <w:rPr>
          <w:lang w:val="hr-HR"/>
        </w:rPr>
        <w:t xml:space="preserve"> od plana za </w:t>
      </w:r>
      <w:r w:rsidR="004B29B2" w:rsidRPr="00316CD9">
        <w:rPr>
          <w:lang w:val="hr-HR"/>
        </w:rPr>
        <w:t>2024</w:t>
      </w:r>
      <w:r w:rsidRPr="00316CD9">
        <w:rPr>
          <w:lang w:val="hr-HR"/>
        </w:rPr>
        <w:t>. godinu</w:t>
      </w:r>
      <w:r w:rsidR="00931428" w:rsidRPr="00316CD9">
        <w:rPr>
          <w:lang w:val="hr-HR"/>
        </w:rPr>
        <w:t xml:space="preserve"> za </w:t>
      </w:r>
      <w:r w:rsidR="004B29B2" w:rsidRPr="00316CD9">
        <w:rPr>
          <w:lang w:val="hr-HR"/>
        </w:rPr>
        <w:t>0,94</w:t>
      </w:r>
      <w:r w:rsidR="00931428" w:rsidRPr="00316CD9">
        <w:rPr>
          <w:lang w:val="hr-HR"/>
        </w:rPr>
        <w:t>%</w:t>
      </w:r>
      <w:r w:rsidR="003153A2" w:rsidRPr="00316CD9">
        <w:rPr>
          <w:lang w:val="hr-HR"/>
        </w:rPr>
        <w:t>,</w:t>
      </w:r>
      <w:r w:rsidRPr="00316CD9">
        <w:rPr>
          <w:lang w:val="hr-HR"/>
        </w:rPr>
        <w:t xml:space="preserve"> ili u apsolutnom iznosu </w:t>
      </w:r>
      <w:r w:rsidR="00CA18D5" w:rsidRPr="00316CD9">
        <w:rPr>
          <w:lang w:val="hr-HR"/>
        </w:rPr>
        <w:t>veći</w:t>
      </w:r>
      <w:r w:rsidRPr="00316CD9">
        <w:rPr>
          <w:lang w:val="hr-HR"/>
        </w:rPr>
        <w:t xml:space="preserve"> za </w:t>
      </w:r>
      <w:r w:rsidR="00BC5360" w:rsidRPr="00316CD9">
        <w:rPr>
          <w:lang w:val="hr-HR"/>
        </w:rPr>
        <w:t>4.110</w:t>
      </w:r>
      <w:r w:rsidRPr="00316CD9">
        <w:rPr>
          <w:lang w:val="hr-HR"/>
        </w:rPr>
        <w:t xml:space="preserve"> KM. </w:t>
      </w:r>
      <w:r w:rsidR="001C1F04" w:rsidRPr="00316CD9">
        <w:rPr>
          <w:lang w:val="hr-HR"/>
        </w:rPr>
        <w:t>U ovoj skupini prihoda najveći iznosi se</w:t>
      </w:r>
      <w:r w:rsidR="00E67C6D" w:rsidRPr="00316CD9">
        <w:rPr>
          <w:lang w:val="hr-HR"/>
        </w:rPr>
        <w:t xml:space="preserve"> odnose na </w:t>
      </w:r>
      <w:r w:rsidR="00DB6E14" w:rsidRPr="00316CD9">
        <w:rPr>
          <w:lang w:val="hr-HR"/>
        </w:rPr>
        <w:t xml:space="preserve">naknade za korištenje poljoprivrednog zemljišta u nepoljoprivredne svrhe i </w:t>
      </w:r>
      <w:r w:rsidR="001065F1" w:rsidRPr="00316CD9">
        <w:rPr>
          <w:lang w:val="hr-HR"/>
        </w:rPr>
        <w:t xml:space="preserve">naknade za šume, a koje se </w:t>
      </w:r>
      <w:r w:rsidR="0071255B" w:rsidRPr="00316CD9">
        <w:rPr>
          <w:lang w:val="hr-HR"/>
        </w:rPr>
        <w:t xml:space="preserve"> namjenski troše u okviru </w:t>
      </w:r>
      <w:r w:rsidR="00707229" w:rsidRPr="00316CD9">
        <w:rPr>
          <w:lang w:val="hr-HR"/>
        </w:rPr>
        <w:t>razdjela 19.</w:t>
      </w:r>
      <w:r w:rsidR="0054530D" w:rsidRPr="00316CD9">
        <w:rPr>
          <w:lang w:val="hr-HR"/>
        </w:rPr>
        <w:t xml:space="preserve"> </w:t>
      </w:r>
      <w:r w:rsidR="0071255B" w:rsidRPr="00316CD9">
        <w:rPr>
          <w:lang w:val="hr-HR"/>
        </w:rPr>
        <w:t>Ministarstva poljoprivrede, vodoprivrede i šumarstva</w:t>
      </w:r>
      <w:r w:rsidR="003344E8" w:rsidRPr="00316CD9">
        <w:rPr>
          <w:lang w:val="hr-HR"/>
        </w:rPr>
        <w:t xml:space="preserve"> Županije Posavske</w:t>
      </w:r>
      <w:r w:rsidR="001065F1" w:rsidRPr="00316CD9">
        <w:rPr>
          <w:lang w:val="hr-HR"/>
        </w:rPr>
        <w:t xml:space="preserve">. Stoga </w:t>
      </w:r>
      <w:r w:rsidR="00D45368" w:rsidRPr="00316CD9">
        <w:rPr>
          <w:lang w:val="hr-HR"/>
        </w:rPr>
        <w:t>su</w:t>
      </w:r>
      <w:r w:rsidR="001065F1" w:rsidRPr="00316CD9">
        <w:rPr>
          <w:lang w:val="hr-HR"/>
        </w:rPr>
        <w:t xml:space="preserve"> </w:t>
      </w:r>
      <w:r w:rsidR="00D45368" w:rsidRPr="00316CD9">
        <w:rPr>
          <w:lang w:val="hr-HR"/>
        </w:rPr>
        <w:t>planirani iznosi</w:t>
      </w:r>
      <w:r w:rsidR="0054530D" w:rsidRPr="00316CD9">
        <w:rPr>
          <w:lang w:val="hr-HR"/>
        </w:rPr>
        <w:t xml:space="preserve"> namjensk</w:t>
      </w:r>
      <w:r w:rsidR="00F03A58" w:rsidRPr="00316CD9">
        <w:rPr>
          <w:lang w:val="hr-HR"/>
        </w:rPr>
        <w:t>e</w:t>
      </w:r>
      <w:r w:rsidR="0054530D" w:rsidRPr="00316CD9">
        <w:rPr>
          <w:lang w:val="hr-HR"/>
        </w:rPr>
        <w:t xml:space="preserve"> potrošnj</w:t>
      </w:r>
      <w:r w:rsidR="00F03A58" w:rsidRPr="00316CD9">
        <w:rPr>
          <w:lang w:val="hr-HR"/>
        </w:rPr>
        <w:t>e</w:t>
      </w:r>
      <w:r w:rsidR="0054530D" w:rsidRPr="00316CD9">
        <w:rPr>
          <w:lang w:val="hr-HR"/>
        </w:rPr>
        <w:t xml:space="preserve"> usklađen</w:t>
      </w:r>
      <w:r w:rsidR="00D45368" w:rsidRPr="00316CD9">
        <w:rPr>
          <w:lang w:val="hr-HR"/>
        </w:rPr>
        <w:t>i</w:t>
      </w:r>
      <w:r w:rsidR="0054530D" w:rsidRPr="00316CD9">
        <w:rPr>
          <w:lang w:val="hr-HR"/>
        </w:rPr>
        <w:t xml:space="preserve"> s planom prihoda po </w:t>
      </w:r>
      <w:r w:rsidR="00D45368" w:rsidRPr="00316CD9">
        <w:rPr>
          <w:lang w:val="hr-HR"/>
        </w:rPr>
        <w:t>ovim osnovama</w:t>
      </w:r>
      <w:r w:rsidR="00F03A58" w:rsidRPr="00316CD9">
        <w:rPr>
          <w:lang w:val="hr-HR"/>
        </w:rPr>
        <w:t xml:space="preserve">, </w:t>
      </w:r>
      <w:r w:rsidR="00CA18D5" w:rsidRPr="00316CD9">
        <w:rPr>
          <w:lang w:val="hr-HR"/>
        </w:rPr>
        <w:t xml:space="preserve"> </w:t>
      </w:r>
      <w:r w:rsidR="00313BE2" w:rsidRPr="00316CD9">
        <w:rPr>
          <w:lang w:val="hr-HR"/>
        </w:rPr>
        <w:t xml:space="preserve">pa je u plan realizacije </w:t>
      </w:r>
      <w:r w:rsidR="0020323B" w:rsidRPr="00316CD9">
        <w:rPr>
          <w:lang w:val="hr-HR"/>
        </w:rPr>
        <w:t xml:space="preserve">prihoda od </w:t>
      </w:r>
      <w:r w:rsidR="00FC0B0A" w:rsidRPr="00316CD9">
        <w:rPr>
          <w:lang w:val="hr-HR"/>
        </w:rPr>
        <w:t>naknada za opće korisne funkcije šuma utvrđene županijskim propisima</w:t>
      </w:r>
      <w:r w:rsidR="0020323B" w:rsidRPr="00316CD9">
        <w:rPr>
          <w:lang w:val="hr-HR"/>
        </w:rPr>
        <w:t xml:space="preserve"> (analitički konto </w:t>
      </w:r>
      <w:r w:rsidR="007F153D" w:rsidRPr="00316CD9">
        <w:rPr>
          <w:lang w:val="hr-HR"/>
        </w:rPr>
        <w:t>722471</w:t>
      </w:r>
      <w:r w:rsidR="0020323B" w:rsidRPr="00316CD9">
        <w:rPr>
          <w:lang w:val="hr-HR"/>
        </w:rPr>
        <w:t>)</w:t>
      </w:r>
      <w:r w:rsidR="00FC0B0A" w:rsidRPr="00316CD9">
        <w:rPr>
          <w:lang w:val="hr-HR"/>
        </w:rPr>
        <w:t xml:space="preserve"> uključen i iznos od </w:t>
      </w:r>
      <w:r w:rsidR="00E47301" w:rsidRPr="00316CD9">
        <w:rPr>
          <w:lang w:val="hr-HR"/>
        </w:rPr>
        <w:t>40.320 KM ovih prihoda prikupljenih u prethodnim razdobljima i razgraničenim za buduću potrošnju.</w:t>
      </w:r>
    </w:p>
    <w:p w14:paraId="7F3373EB" w14:textId="02BC38C2" w:rsidR="00CA1958" w:rsidRPr="00316CD9" w:rsidRDefault="00CA1958" w:rsidP="003E514A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Naknade i pristojbe po Federalnim zakonima i drugim propisima (glavna grupa 722500) planirane su u visini od </w:t>
      </w:r>
      <w:r w:rsidR="0060425E" w:rsidRPr="00316CD9">
        <w:rPr>
          <w:lang w:val="hr-HR"/>
        </w:rPr>
        <w:t xml:space="preserve">1.219.570 </w:t>
      </w:r>
      <w:r w:rsidRPr="00316CD9">
        <w:rPr>
          <w:lang w:val="hr-HR"/>
        </w:rPr>
        <w:t xml:space="preserve">KM, pri čemu su najznačajniji planirani prihodi po osnovi vodnih naknada, cestovnih naknada i naknada za zaštitu okoliša. U odnosu na planirano u </w:t>
      </w:r>
      <w:r w:rsidR="0060425E" w:rsidRPr="00316CD9">
        <w:rPr>
          <w:lang w:val="hr-HR"/>
        </w:rPr>
        <w:t>2024</w:t>
      </w:r>
      <w:r w:rsidRPr="00316CD9">
        <w:rPr>
          <w:lang w:val="hr-HR"/>
        </w:rPr>
        <w:t xml:space="preserve">. godini u fiskalnoj </w:t>
      </w:r>
      <w:r w:rsidR="0060425E" w:rsidRPr="00316CD9">
        <w:rPr>
          <w:lang w:val="hr-HR"/>
        </w:rPr>
        <w:t>2025</w:t>
      </w:r>
      <w:r w:rsidRPr="00316CD9">
        <w:rPr>
          <w:lang w:val="hr-HR"/>
        </w:rPr>
        <w:t xml:space="preserve">. godini očekuje se </w:t>
      </w:r>
      <w:r w:rsidR="0060425E" w:rsidRPr="00316CD9">
        <w:rPr>
          <w:lang w:val="hr-HR"/>
        </w:rPr>
        <w:t>manja</w:t>
      </w:r>
      <w:r w:rsidRPr="00316CD9">
        <w:rPr>
          <w:lang w:val="hr-HR"/>
        </w:rPr>
        <w:t xml:space="preserve"> realizacija ovih prihoda</w:t>
      </w:r>
      <w:r w:rsidR="003153A2" w:rsidRPr="00316CD9">
        <w:rPr>
          <w:lang w:val="hr-HR"/>
        </w:rPr>
        <w:t>,</w:t>
      </w:r>
      <w:r w:rsidRPr="00316CD9">
        <w:rPr>
          <w:lang w:val="hr-HR"/>
        </w:rPr>
        <w:t xml:space="preserve"> i to u apsolutnom iznosu </w:t>
      </w:r>
      <w:r w:rsidR="002E5840" w:rsidRPr="00316CD9">
        <w:rPr>
          <w:lang w:val="hr-HR"/>
        </w:rPr>
        <w:t>40.094</w:t>
      </w:r>
      <w:r w:rsidRPr="00316CD9">
        <w:rPr>
          <w:lang w:val="hr-HR"/>
        </w:rPr>
        <w:t xml:space="preserve"> KM </w:t>
      </w:r>
      <w:r w:rsidR="002E5840" w:rsidRPr="00316CD9">
        <w:rPr>
          <w:lang w:val="hr-HR"/>
        </w:rPr>
        <w:t>manje</w:t>
      </w:r>
      <w:r w:rsidR="00C76DC5" w:rsidRPr="00316CD9">
        <w:rPr>
          <w:lang w:val="hr-HR"/>
        </w:rPr>
        <w:t xml:space="preserve">, </w:t>
      </w:r>
      <w:r w:rsidRPr="00316CD9">
        <w:rPr>
          <w:lang w:val="hr-HR"/>
        </w:rPr>
        <w:t xml:space="preserve">odnosno </w:t>
      </w:r>
      <w:r w:rsidR="002E5840" w:rsidRPr="00316CD9">
        <w:rPr>
          <w:lang w:val="hr-HR"/>
        </w:rPr>
        <w:t>3,18</w:t>
      </w:r>
      <w:r w:rsidRPr="00316CD9">
        <w:rPr>
          <w:lang w:val="hr-HR"/>
        </w:rPr>
        <w:t xml:space="preserve">% </w:t>
      </w:r>
      <w:r w:rsidR="002E5840" w:rsidRPr="00316CD9">
        <w:rPr>
          <w:lang w:val="hr-HR"/>
        </w:rPr>
        <w:t>manje</w:t>
      </w:r>
      <w:r w:rsidRPr="00316CD9">
        <w:rPr>
          <w:lang w:val="hr-HR"/>
        </w:rPr>
        <w:t>.</w:t>
      </w:r>
      <w:r w:rsidR="000571EE" w:rsidRPr="00316CD9">
        <w:rPr>
          <w:lang w:val="hr-HR"/>
        </w:rPr>
        <w:t xml:space="preserve"> </w:t>
      </w:r>
      <w:r w:rsidR="00382778" w:rsidRPr="00316CD9">
        <w:rPr>
          <w:lang w:val="hr-HR"/>
        </w:rPr>
        <w:t xml:space="preserve">Kako se u ovoj skupini najvećim dijelom radi o namjenskim prihodima Ministarstva poljoprivrede, vodoprivrede i šumarstva </w:t>
      </w:r>
      <w:r w:rsidR="003344E8" w:rsidRPr="00316CD9">
        <w:rPr>
          <w:lang w:val="hr-HR"/>
        </w:rPr>
        <w:t xml:space="preserve">Županije Posavske </w:t>
      </w:r>
      <w:r w:rsidR="00382778" w:rsidRPr="00316CD9">
        <w:rPr>
          <w:lang w:val="hr-HR"/>
        </w:rPr>
        <w:lastRenderedPageBreak/>
        <w:t>(vodne naknade i zaostale obveze po osnovi naknada za korištenje šu</w:t>
      </w:r>
      <w:r w:rsidR="003344E8" w:rsidRPr="00316CD9">
        <w:rPr>
          <w:lang w:val="hr-HR"/>
        </w:rPr>
        <w:t>ma), Ministarstva prometa, veza</w:t>
      </w:r>
      <w:r w:rsidR="00382778" w:rsidRPr="00316CD9">
        <w:rPr>
          <w:lang w:val="hr-HR"/>
        </w:rPr>
        <w:t xml:space="preserve"> i zaštite okoliša</w:t>
      </w:r>
      <w:r w:rsidR="003344E8" w:rsidRPr="00316CD9">
        <w:rPr>
          <w:lang w:val="hr-HR"/>
        </w:rPr>
        <w:t xml:space="preserve"> Županije Posavske</w:t>
      </w:r>
      <w:r w:rsidR="00382778" w:rsidRPr="00316CD9">
        <w:rPr>
          <w:lang w:val="hr-HR"/>
        </w:rPr>
        <w:t xml:space="preserve"> (cestovne naknade i naknade za zaštitu okoliša) i </w:t>
      </w:r>
      <w:r w:rsidR="003344E8" w:rsidRPr="00316CD9">
        <w:rPr>
          <w:lang w:val="hr-HR"/>
        </w:rPr>
        <w:t>Županijske uprave civilne zaštite</w:t>
      </w:r>
      <w:r w:rsidR="00382778" w:rsidRPr="00316CD9">
        <w:rPr>
          <w:lang w:val="hr-HR"/>
        </w:rPr>
        <w:t xml:space="preserve"> (posebne naknade za zaštitu od prirodnih i drugih nesreća)</w:t>
      </w:r>
      <w:r w:rsidR="00F120C5" w:rsidRPr="00316CD9">
        <w:rPr>
          <w:lang w:val="hr-HR"/>
        </w:rPr>
        <w:t xml:space="preserve"> njihovo planiranje uvjetovano je </w:t>
      </w:r>
      <w:r w:rsidR="003153A2" w:rsidRPr="00316CD9">
        <w:rPr>
          <w:lang w:val="hr-HR"/>
        </w:rPr>
        <w:t xml:space="preserve">i izjednačeno s </w:t>
      </w:r>
      <w:r w:rsidR="00F120C5" w:rsidRPr="00316CD9">
        <w:rPr>
          <w:lang w:val="hr-HR"/>
        </w:rPr>
        <w:t xml:space="preserve">planiranom namjenskom potrošnjom. </w:t>
      </w:r>
      <w:r w:rsidR="002C476A" w:rsidRPr="00316CD9">
        <w:rPr>
          <w:lang w:val="hr-HR"/>
        </w:rPr>
        <w:t xml:space="preserve">Za potrebe </w:t>
      </w:r>
      <w:r w:rsidR="00CD1276" w:rsidRPr="00316CD9">
        <w:rPr>
          <w:lang w:val="hr-HR"/>
        </w:rPr>
        <w:t xml:space="preserve">navedenog </w:t>
      </w:r>
      <w:r w:rsidR="002C476A" w:rsidRPr="00316CD9">
        <w:rPr>
          <w:lang w:val="hr-HR"/>
        </w:rPr>
        <w:t>usklađivanja</w:t>
      </w:r>
      <w:r w:rsidR="00CD1276" w:rsidRPr="00316CD9">
        <w:rPr>
          <w:lang w:val="hr-HR"/>
        </w:rPr>
        <w:t>,</w:t>
      </w:r>
      <w:r w:rsidR="001F4836" w:rsidRPr="00316CD9">
        <w:rPr>
          <w:lang w:val="hr-HR"/>
        </w:rPr>
        <w:t xml:space="preserve"> prihodima od posebne naknade za okoliš koje plaćaju fizičke osobe pri svakoj registraciji motornih vozila (analitički konto </w:t>
      </w:r>
      <w:r w:rsidR="00143D65" w:rsidRPr="00316CD9">
        <w:rPr>
          <w:lang w:val="hr-HR"/>
        </w:rPr>
        <w:t>722566) dodan je iznos od 104.000 KM razgraničenih prihoda, a prihodima od</w:t>
      </w:r>
      <w:r w:rsidR="003E514A" w:rsidRPr="00316CD9">
        <w:rPr>
          <w:lang w:val="hr-HR"/>
        </w:rPr>
        <w:t xml:space="preserve"> posebne naknade za zaštitu od prirodnih i drugih nesreća gdje je osnovica sumarni iznos neto plaće za isplatu (analitički konto 722581) iznos od </w:t>
      </w:r>
      <w:r w:rsidR="00CD1276" w:rsidRPr="00316CD9">
        <w:rPr>
          <w:lang w:val="hr-HR"/>
        </w:rPr>
        <w:t>4.190 KM razgraničenih prihoda.</w:t>
      </w:r>
    </w:p>
    <w:p w14:paraId="73F30996" w14:textId="2C114182" w:rsidR="00CA1958" w:rsidRPr="00316CD9" w:rsidRDefault="00CA1958" w:rsidP="00D85F26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Prihodi od pružanja javnih usluga (glavna grupa 722600) u visini od </w:t>
      </w:r>
      <w:r w:rsidR="0044164C">
        <w:rPr>
          <w:lang w:val="hr-HR"/>
        </w:rPr>
        <w:t>508</w:t>
      </w:r>
      <w:r w:rsidR="0063014E" w:rsidRPr="00316CD9">
        <w:rPr>
          <w:lang w:val="hr-HR"/>
        </w:rPr>
        <w:t>.5</w:t>
      </w:r>
      <w:r w:rsidR="0044164C">
        <w:rPr>
          <w:lang w:val="hr-HR"/>
        </w:rPr>
        <w:t>7</w:t>
      </w:r>
      <w:r w:rsidR="0063014E" w:rsidRPr="00316CD9">
        <w:rPr>
          <w:lang w:val="hr-HR"/>
        </w:rPr>
        <w:t>0</w:t>
      </w:r>
      <w:r w:rsidRPr="00316CD9">
        <w:rPr>
          <w:lang w:val="hr-HR"/>
        </w:rPr>
        <w:t xml:space="preserve"> KM su prihodi od pružanja usluga građanima i pravnim osobama, prihodi od pružanja usluga drugim razinama vlasti i prihodi od pružanja usluga ostalima, kao i vlastiti prihodi proračunskih korisnika. U odnosu na plan za </w:t>
      </w:r>
      <w:r w:rsidR="00EA3520" w:rsidRPr="00316CD9">
        <w:rPr>
          <w:lang w:val="hr-HR"/>
        </w:rPr>
        <w:t>2024</w:t>
      </w:r>
      <w:r w:rsidR="00A65739" w:rsidRPr="00316CD9">
        <w:rPr>
          <w:lang w:val="hr-HR"/>
        </w:rPr>
        <w:t xml:space="preserve">. godinu u </w:t>
      </w:r>
      <w:r w:rsidR="00EA3520" w:rsidRPr="00316CD9">
        <w:rPr>
          <w:lang w:val="hr-HR"/>
        </w:rPr>
        <w:t>2025</w:t>
      </w:r>
      <w:r w:rsidRPr="00316CD9">
        <w:rPr>
          <w:lang w:val="hr-HR"/>
        </w:rPr>
        <w:t xml:space="preserve">. godini se planira </w:t>
      </w:r>
      <w:r w:rsidR="00EA3520" w:rsidRPr="00316CD9">
        <w:rPr>
          <w:lang w:val="hr-HR"/>
        </w:rPr>
        <w:t>manja</w:t>
      </w:r>
      <w:r w:rsidRPr="00316CD9">
        <w:rPr>
          <w:lang w:val="hr-HR"/>
        </w:rPr>
        <w:t xml:space="preserve"> realizacija ovih prihoda (</w:t>
      </w:r>
      <w:r w:rsidR="00EA3520" w:rsidRPr="00316CD9">
        <w:rPr>
          <w:lang w:val="hr-HR"/>
        </w:rPr>
        <w:t>-</w:t>
      </w:r>
      <w:r w:rsidR="0066485C">
        <w:rPr>
          <w:lang w:val="hr-HR"/>
        </w:rPr>
        <w:t>1,99</w:t>
      </w:r>
      <w:r w:rsidRPr="00316CD9">
        <w:rPr>
          <w:lang w:val="hr-HR"/>
        </w:rPr>
        <w:t xml:space="preserve">% ili </w:t>
      </w:r>
      <w:r w:rsidR="001B1B07" w:rsidRPr="00316CD9">
        <w:rPr>
          <w:lang w:val="hr-HR"/>
        </w:rPr>
        <w:t>1</w:t>
      </w:r>
      <w:r w:rsidR="0066485C">
        <w:rPr>
          <w:lang w:val="hr-HR"/>
        </w:rPr>
        <w:t>0</w:t>
      </w:r>
      <w:r w:rsidR="001B1B07" w:rsidRPr="00316CD9">
        <w:rPr>
          <w:lang w:val="hr-HR"/>
        </w:rPr>
        <w:t>.3</w:t>
      </w:r>
      <w:r w:rsidR="0066485C">
        <w:rPr>
          <w:lang w:val="hr-HR"/>
        </w:rPr>
        <w:t>0</w:t>
      </w:r>
      <w:r w:rsidR="001B1B07" w:rsidRPr="00316CD9">
        <w:rPr>
          <w:lang w:val="hr-HR"/>
        </w:rPr>
        <w:t>0</w:t>
      </w:r>
      <w:r w:rsidRPr="00316CD9">
        <w:rPr>
          <w:lang w:val="hr-HR"/>
        </w:rPr>
        <w:t xml:space="preserve"> KM </w:t>
      </w:r>
      <w:r w:rsidR="001B1B07" w:rsidRPr="00316CD9">
        <w:rPr>
          <w:lang w:val="hr-HR"/>
        </w:rPr>
        <w:t>manje</w:t>
      </w:r>
      <w:r w:rsidRPr="00316CD9">
        <w:rPr>
          <w:lang w:val="hr-HR"/>
        </w:rPr>
        <w:t>).</w:t>
      </w:r>
      <w:r w:rsidR="00DB30E4" w:rsidRPr="00316CD9">
        <w:rPr>
          <w:lang w:val="hr-HR"/>
        </w:rPr>
        <w:t xml:space="preserve"> </w:t>
      </w:r>
    </w:p>
    <w:p w14:paraId="4DC3AC36" w14:textId="71B5AD27" w:rsidR="00CA1958" w:rsidRPr="00316CD9" w:rsidRDefault="00CA1958" w:rsidP="00D85F26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Neplanirane uplate - prihodi (glavna grupa 722700) u visini od </w:t>
      </w:r>
      <w:r w:rsidR="008D2913">
        <w:rPr>
          <w:lang w:val="hr-HR"/>
        </w:rPr>
        <w:t>40.540</w:t>
      </w:r>
      <w:r w:rsidRPr="00316CD9">
        <w:rPr>
          <w:lang w:val="hr-HR"/>
        </w:rPr>
        <w:t xml:space="preserve"> KM su prihodi od troškova naplate po osnovi pokretanja postupka prinudne naplate, primljene namjenske donacije neplanirane u Proračunu i ostale neplanirane uplate. Proračunom za </w:t>
      </w:r>
      <w:r w:rsidR="009D654F" w:rsidRPr="00316CD9">
        <w:rPr>
          <w:lang w:val="hr-HR"/>
        </w:rPr>
        <w:t>2025</w:t>
      </w:r>
      <w:r w:rsidRPr="00316CD9">
        <w:rPr>
          <w:lang w:val="hr-HR"/>
        </w:rPr>
        <w:t xml:space="preserve">. godinu planira se </w:t>
      </w:r>
      <w:r w:rsidR="009D654F" w:rsidRPr="00316CD9">
        <w:rPr>
          <w:lang w:val="hr-HR"/>
        </w:rPr>
        <w:t>smanjenje</w:t>
      </w:r>
      <w:r w:rsidRPr="00316CD9">
        <w:rPr>
          <w:lang w:val="hr-HR"/>
        </w:rPr>
        <w:t xml:space="preserve"> ovih prihoda u odnosu na plan </w:t>
      </w:r>
      <w:r w:rsidR="009D654F" w:rsidRPr="00316CD9">
        <w:rPr>
          <w:lang w:val="hr-HR"/>
        </w:rPr>
        <w:t>2024.</w:t>
      </w:r>
      <w:r w:rsidRPr="00316CD9">
        <w:rPr>
          <w:lang w:val="hr-HR"/>
        </w:rPr>
        <w:t xml:space="preserve"> godine za </w:t>
      </w:r>
      <w:r w:rsidR="00E46C75">
        <w:rPr>
          <w:lang w:val="hr-HR"/>
        </w:rPr>
        <w:t>10,33</w:t>
      </w:r>
      <w:r w:rsidRPr="00316CD9">
        <w:rPr>
          <w:lang w:val="hr-HR"/>
        </w:rPr>
        <w:t xml:space="preserve">% ili u apsolutnom iznosu </w:t>
      </w:r>
      <w:r w:rsidR="00035EDC" w:rsidRPr="00316CD9">
        <w:rPr>
          <w:lang w:val="hr-HR"/>
        </w:rPr>
        <w:t>smanjenje</w:t>
      </w:r>
      <w:r w:rsidR="00DB30E4" w:rsidRPr="00316CD9">
        <w:rPr>
          <w:lang w:val="hr-HR"/>
        </w:rPr>
        <w:t xml:space="preserve"> </w:t>
      </w:r>
      <w:r w:rsidRPr="00316CD9">
        <w:rPr>
          <w:lang w:val="hr-HR"/>
        </w:rPr>
        <w:t xml:space="preserve">za </w:t>
      </w:r>
      <w:r w:rsidR="00E46C75">
        <w:rPr>
          <w:lang w:val="hr-HR"/>
        </w:rPr>
        <w:t>4.570</w:t>
      </w:r>
      <w:r w:rsidRPr="00316CD9">
        <w:rPr>
          <w:lang w:val="hr-HR"/>
        </w:rPr>
        <w:t xml:space="preserve"> KM.</w:t>
      </w:r>
      <w:r w:rsidR="000E2364" w:rsidRPr="00316CD9">
        <w:rPr>
          <w:lang w:val="hr-HR"/>
        </w:rPr>
        <w:t xml:space="preserve"> </w:t>
      </w:r>
      <w:r w:rsidR="00FD7643" w:rsidRPr="00316CD9">
        <w:rPr>
          <w:lang w:val="hr-HR"/>
        </w:rPr>
        <w:t>Na ovoj poziciji se računovodstveno evidentiraju povrati od akciza na naftu i naftne derivate osnovnih škola.</w:t>
      </w:r>
    </w:p>
    <w:p w14:paraId="66B28309" w14:textId="77777777" w:rsidR="00CA1958" w:rsidRPr="00316CD9" w:rsidRDefault="00CA1958">
      <w:pPr>
        <w:ind w:firstLine="720"/>
        <w:jc w:val="both"/>
        <w:rPr>
          <w:sz w:val="16"/>
          <w:szCs w:val="16"/>
          <w:lang w:val="hr-HR"/>
        </w:rPr>
      </w:pPr>
    </w:p>
    <w:p w14:paraId="6959CDED" w14:textId="77777777" w:rsidR="00CA1958" w:rsidRPr="00316CD9" w:rsidRDefault="00CA1958">
      <w:pPr>
        <w:pStyle w:val="Naslov3"/>
        <w:ind w:firstLine="720"/>
        <w:jc w:val="both"/>
      </w:pPr>
      <w:r w:rsidRPr="00316CD9">
        <w:t>Novčane kazne</w:t>
      </w:r>
    </w:p>
    <w:p w14:paraId="353DFF40" w14:textId="1BA4D181" w:rsidR="00CA1958" w:rsidRPr="00316CD9" w:rsidRDefault="00CA1958">
      <w:pPr>
        <w:spacing w:before="120"/>
        <w:jc w:val="both"/>
        <w:rPr>
          <w:lang w:val="hr-HR"/>
        </w:rPr>
      </w:pPr>
      <w:r w:rsidRPr="00316CD9">
        <w:rPr>
          <w:lang w:val="hr-HR"/>
        </w:rPr>
        <w:t xml:space="preserve">        </w:t>
      </w:r>
      <w:r w:rsidRPr="00316CD9">
        <w:rPr>
          <w:lang w:val="hr-HR"/>
        </w:rPr>
        <w:tab/>
        <w:t xml:space="preserve">Novčane kazne (potkategorija 723000) planirane su u iznosu od </w:t>
      </w:r>
      <w:r w:rsidR="00E46C75">
        <w:rPr>
          <w:lang w:val="hr-HR"/>
        </w:rPr>
        <w:t>815</w:t>
      </w:r>
      <w:r w:rsidR="004B73CC" w:rsidRPr="00316CD9">
        <w:rPr>
          <w:lang w:val="hr-HR"/>
        </w:rPr>
        <w:t>.</w:t>
      </w:r>
      <w:r w:rsidR="00E46C75">
        <w:rPr>
          <w:lang w:val="hr-HR"/>
        </w:rPr>
        <w:t>56</w:t>
      </w:r>
      <w:r w:rsidR="004B73CC" w:rsidRPr="00316CD9">
        <w:rPr>
          <w:lang w:val="hr-HR"/>
        </w:rPr>
        <w:t>0</w:t>
      </w:r>
      <w:r w:rsidRPr="00316CD9">
        <w:rPr>
          <w:lang w:val="hr-HR"/>
        </w:rPr>
        <w:t xml:space="preserve"> KM, što je za </w:t>
      </w:r>
      <w:r w:rsidR="00E671B0">
        <w:rPr>
          <w:lang w:val="hr-HR"/>
        </w:rPr>
        <w:t>15,09</w:t>
      </w:r>
      <w:r w:rsidRPr="00316CD9">
        <w:rPr>
          <w:lang w:val="hr-HR"/>
        </w:rPr>
        <w:t xml:space="preserve">% </w:t>
      </w:r>
      <w:r w:rsidR="00920686" w:rsidRPr="00316CD9">
        <w:rPr>
          <w:lang w:val="hr-HR"/>
        </w:rPr>
        <w:t>manje</w:t>
      </w:r>
      <w:r w:rsidRPr="00316CD9">
        <w:rPr>
          <w:lang w:val="hr-HR"/>
        </w:rPr>
        <w:t xml:space="preserve"> u odnosu na planirane prihode po osnovi novčanih kazni u </w:t>
      </w:r>
      <w:r w:rsidR="00920686" w:rsidRPr="00316CD9">
        <w:rPr>
          <w:lang w:val="hr-HR"/>
        </w:rPr>
        <w:t>2024</w:t>
      </w:r>
      <w:r w:rsidRPr="00316CD9">
        <w:rPr>
          <w:lang w:val="hr-HR"/>
        </w:rPr>
        <w:t>. godini</w:t>
      </w:r>
      <w:r w:rsidR="00C76DC5" w:rsidRPr="00316CD9">
        <w:rPr>
          <w:lang w:val="hr-HR"/>
        </w:rPr>
        <w:t>,</w:t>
      </w:r>
      <w:r w:rsidRPr="00316CD9">
        <w:rPr>
          <w:lang w:val="hr-HR"/>
        </w:rPr>
        <w:t xml:space="preserve"> odnosno u apsolutnom iznosu </w:t>
      </w:r>
      <w:r w:rsidR="00E671B0">
        <w:rPr>
          <w:lang w:val="hr-HR"/>
        </w:rPr>
        <w:t>144</w:t>
      </w:r>
      <w:r w:rsidR="005E0D8D" w:rsidRPr="00316CD9">
        <w:rPr>
          <w:lang w:val="hr-HR"/>
        </w:rPr>
        <w:t>.</w:t>
      </w:r>
      <w:r w:rsidR="00FD676C">
        <w:rPr>
          <w:lang w:val="hr-HR"/>
        </w:rPr>
        <w:t>95</w:t>
      </w:r>
      <w:r w:rsidR="005E0D8D" w:rsidRPr="00316CD9">
        <w:rPr>
          <w:lang w:val="hr-HR"/>
        </w:rPr>
        <w:t>0</w:t>
      </w:r>
      <w:r w:rsidRPr="00316CD9">
        <w:rPr>
          <w:lang w:val="hr-HR"/>
        </w:rPr>
        <w:t xml:space="preserve"> KM </w:t>
      </w:r>
      <w:r w:rsidR="00920686" w:rsidRPr="00316CD9">
        <w:rPr>
          <w:lang w:val="hr-HR"/>
        </w:rPr>
        <w:t>manje</w:t>
      </w:r>
      <w:r w:rsidRPr="00316CD9">
        <w:rPr>
          <w:lang w:val="hr-HR"/>
        </w:rPr>
        <w:t>.</w:t>
      </w:r>
      <w:r w:rsidR="002360A0" w:rsidRPr="00316CD9">
        <w:rPr>
          <w:lang w:val="hr-HR"/>
        </w:rPr>
        <w:t xml:space="preserve"> Najveći iznos prihoda u ovoj skupini i dalje se planira na poziciji novčanih kazni za prekršaje koje su registrirane u registru novčanih kazni i troškova prekršajnog postupka (</w:t>
      </w:r>
      <w:r w:rsidR="0023233E" w:rsidRPr="00316CD9">
        <w:rPr>
          <w:lang w:val="hr-HR"/>
        </w:rPr>
        <w:t xml:space="preserve">plan iznosi </w:t>
      </w:r>
      <w:r w:rsidR="00FD676C">
        <w:rPr>
          <w:lang w:val="hr-HR"/>
        </w:rPr>
        <w:t>805</w:t>
      </w:r>
      <w:r w:rsidR="00DF16F6" w:rsidRPr="00316CD9">
        <w:rPr>
          <w:lang w:val="hr-HR"/>
        </w:rPr>
        <w:t>.</w:t>
      </w:r>
      <w:r w:rsidR="00FD676C">
        <w:rPr>
          <w:lang w:val="hr-HR"/>
        </w:rPr>
        <w:t>11</w:t>
      </w:r>
      <w:r w:rsidR="00DF16F6" w:rsidRPr="00316CD9">
        <w:rPr>
          <w:lang w:val="hr-HR"/>
        </w:rPr>
        <w:t>0</w:t>
      </w:r>
      <w:r w:rsidR="002360A0" w:rsidRPr="00316CD9">
        <w:rPr>
          <w:lang w:val="hr-HR"/>
        </w:rPr>
        <w:t xml:space="preserve"> KM ili </w:t>
      </w:r>
      <w:r w:rsidR="008F5B54" w:rsidRPr="00316CD9">
        <w:rPr>
          <w:lang w:val="hr-HR"/>
        </w:rPr>
        <w:t>1</w:t>
      </w:r>
      <w:r w:rsidR="00A07EBC">
        <w:rPr>
          <w:lang w:val="hr-HR"/>
        </w:rPr>
        <w:t>5</w:t>
      </w:r>
      <w:r w:rsidR="008F5B54" w:rsidRPr="00316CD9">
        <w:rPr>
          <w:lang w:val="hr-HR"/>
        </w:rPr>
        <w:t>,</w:t>
      </w:r>
      <w:r w:rsidR="00A07EBC">
        <w:rPr>
          <w:lang w:val="hr-HR"/>
        </w:rPr>
        <w:t>21</w:t>
      </w:r>
      <w:r w:rsidR="002360A0" w:rsidRPr="00316CD9">
        <w:rPr>
          <w:lang w:val="hr-HR"/>
        </w:rPr>
        <w:t>%</w:t>
      </w:r>
      <w:r w:rsidR="0023233E" w:rsidRPr="00316CD9">
        <w:rPr>
          <w:lang w:val="hr-HR"/>
        </w:rPr>
        <w:t xml:space="preserve"> </w:t>
      </w:r>
      <w:r w:rsidR="008F5B54" w:rsidRPr="00316CD9">
        <w:rPr>
          <w:lang w:val="hr-HR"/>
        </w:rPr>
        <w:t>manje</w:t>
      </w:r>
      <w:r w:rsidR="0023233E" w:rsidRPr="00316CD9">
        <w:rPr>
          <w:lang w:val="hr-HR"/>
        </w:rPr>
        <w:t xml:space="preserve"> </w:t>
      </w:r>
      <w:r w:rsidR="008F5B54" w:rsidRPr="00316CD9">
        <w:rPr>
          <w:lang w:val="hr-HR"/>
        </w:rPr>
        <w:t>od plana</w:t>
      </w:r>
      <w:r w:rsidR="0023233E" w:rsidRPr="00316CD9">
        <w:rPr>
          <w:lang w:val="hr-HR"/>
        </w:rPr>
        <w:t xml:space="preserve"> u </w:t>
      </w:r>
      <w:r w:rsidR="008F5B54" w:rsidRPr="00316CD9">
        <w:rPr>
          <w:lang w:val="hr-HR"/>
        </w:rPr>
        <w:t>2024</w:t>
      </w:r>
      <w:r w:rsidR="0023233E" w:rsidRPr="00316CD9">
        <w:rPr>
          <w:lang w:val="hr-HR"/>
        </w:rPr>
        <w:t>. godini).</w:t>
      </w:r>
    </w:p>
    <w:p w14:paraId="26760149" w14:textId="77777777" w:rsidR="00F120C5" w:rsidRPr="00316CD9" w:rsidRDefault="00F120C5">
      <w:pPr>
        <w:pStyle w:val="Uvuenotijeloteksta"/>
        <w:spacing w:line="240" w:lineRule="auto"/>
        <w:ind w:firstLine="0"/>
        <w:jc w:val="left"/>
        <w:rPr>
          <w:b/>
          <w:bCs/>
          <w:i/>
        </w:rPr>
      </w:pPr>
    </w:p>
    <w:p w14:paraId="181C087E" w14:textId="77777777" w:rsidR="00DB30E4" w:rsidRPr="00316CD9" w:rsidRDefault="00DB30E4">
      <w:pPr>
        <w:pStyle w:val="Uvuenotijeloteksta"/>
        <w:spacing w:line="240" w:lineRule="auto"/>
        <w:ind w:firstLine="0"/>
        <w:jc w:val="left"/>
        <w:rPr>
          <w:b/>
          <w:bCs/>
          <w:i/>
        </w:rPr>
      </w:pPr>
    </w:p>
    <w:p w14:paraId="067E7B61" w14:textId="77777777" w:rsidR="00CA1958" w:rsidRPr="00316CD9" w:rsidRDefault="00CA1958">
      <w:pPr>
        <w:pStyle w:val="Uvuenotijeloteksta"/>
        <w:spacing w:line="240" w:lineRule="auto"/>
        <w:jc w:val="left"/>
        <w:rPr>
          <w:b/>
          <w:bCs/>
        </w:rPr>
      </w:pPr>
      <w:r w:rsidRPr="00316CD9">
        <w:rPr>
          <w:b/>
          <w:bCs/>
        </w:rPr>
        <w:t xml:space="preserve">4.1.3 </w:t>
      </w:r>
      <w:r w:rsidRPr="00316CD9">
        <w:rPr>
          <w:b/>
          <w:bCs/>
        </w:rPr>
        <w:tab/>
        <w:t>TEKUĆI GRANTOVI (GRANTOVI I DONACIJE)</w:t>
      </w:r>
    </w:p>
    <w:p w14:paraId="3D4FF528" w14:textId="77777777" w:rsidR="00CA1958" w:rsidRPr="00316CD9" w:rsidRDefault="00CA1958">
      <w:pPr>
        <w:pStyle w:val="Uvuenotijeloteksta"/>
        <w:spacing w:line="240" w:lineRule="auto"/>
        <w:jc w:val="left"/>
      </w:pPr>
    </w:p>
    <w:p w14:paraId="3F7CCCDC" w14:textId="0C19886F" w:rsidR="00CA1958" w:rsidRPr="00316CD9" w:rsidRDefault="00CA1958" w:rsidP="00707229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Tekući grantovi (kategorija 730000) planirani su u iznosu od </w:t>
      </w:r>
      <w:r w:rsidR="00B9644C" w:rsidRPr="00316CD9">
        <w:rPr>
          <w:lang w:val="hr-HR"/>
        </w:rPr>
        <w:t>7.609.320</w:t>
      </w:r>
      <w:r w:rsidRPr="00316CD9">
        <w:rPr>
          <w:lang w:val="hr-HR"/>
        </w:rPr>
        <w:t xml:space="preserve"> KM</w:t>
      </w:r>
      <w:r w:rsidR="000E2364" w:rsidRPr="00316CD9">
        <w:rPr>
          <w:lang w:val="hr-HR"/>
        </w:rPr>
        <w:t>,</w:t>
      </w:r>
      <w:r w:rsidRPr="00316CD9">
        <w:rPr>
          <w:lang w:val="hr-HR"/>
        </w:rPr>
        <w:t xml:space="preserve"> i </w:t>
      </w:r>
      <w:r w:rsidR="00B9644C" w:rsidRPr="00316CD9">
        <w:rPr>
          <w:lang w:val="hr-HR"/>
        </w:rPr>
        <w:t>manji</w:t>
      </w:r>
      <w:r w:rsidRPr="00316CD9">
        <w:rPr>
          <w:lang w:val="hr-HR"/>
        </w:rPr>
        <w:t xml:space="preserve"> su od plana prethodne godine za </w:t>
      </w:r>
      <w:r w:rsidR="00B9644C" w:rsidRPr="00316CD9">
        <w:rPr>
          <w:lang w:val="hr-HR"/>
        </w:rPr>
        <w:t>3,59</w:t>
      </w:r>
      <w:r w:rsidRPr="00316CD9">
        <w:rPr>
          <w:lang w:val="hr-HR"/>
        </w:rPr>
        <w:t>%</w:t>
      </w:r>
      <w:r w:rsidR="000E2364" w:rsidRPr="00316CD9">
        <w:rPr>
          <w:lang w:val="hr-HR"/>
        </w:rPr>
        <w:t>,</w:t>
      </w:r>
      <w:r w:rsidRPr="00316CD9">
        <w:rPr>
          <w:lang w:val="hr-HR"/>
        </w:rPr>
        <w:t xml:space="preserve"> ili u apsolutnom iznosu </w:t>
      </w:r>
      <w:r w:rsidR="00B9644C" w:rsidRPr="00316CD9">
        <w:rPr>
          <w:lang w:val="hr-HR"/>
        </w:rPr>
        <w:t>manji</w:t>
      </w:r>
      <w:r w:rsidRPr="00316CD9">
        <w:rPr>
          <w:lang w:val="hr-HR"/>
        </w:rPr>
        <w:t xml:space="preserve"> za </w:t>
      </w:r>
      <w:r w:rsidR="00E376E7" w:rsidRPr="00316CD9">
        <w:rPr>
          <w:lang w:val="hr-HR"/>
        </w:rPr>
        <w:t>283.581</w:t>
      </w:r>
      <w:r w:rsidRPr="00316CD9">
        <w:rPr>
          <w:lang w:val="hr-HR"/>
        </w:rPr>
        <w:t xml:space="preserve"> KM. Navedeni iznos tekućih grantova </w:t>
      </w:r>
      <w:r w:rsidR="00F120C5" w:rsidRPr="00316CD9">
        <w:rPr>
          <w:lang w:val="hr-HR"/>
        </w:rPr>
        <w:t>odnosi se na</w:t>
      </w:r>
      <w:r w:rsidR="00707229" w:rsidRPr="00316CD9">
        <w:rPr>
          <w:lang w:val="hr-HR"/>
        </w:rPr>
        <w:t xml:space="preserve"> </w:t>
      </w:r>
      <w:r w:rsidR="005E0D8D" w:rsidRPr="00316CD9">
        <w:rPr>
          <w:lang w:val="hr-HR"/>
        </w:rPr>
        <w:t>planirane i primljene a neutrošene</w:t>
      </w:r>
      <w:r w:rsidR="00707229" w:rsidRPr="00316CD9">
        <w:rPr>
          <w:lang w:val="hr-HR"/>
        </w:rPr>
        <w:t xml:space="preserve"> tekuće grantove od ostalih razina i fondova</w:t>
      </w:r>
      <w:r w:rsidR="003E7134" w:rsidRPr="00316CD9">
        <w:rPr>
          <w:lang w:val="hr-HR"/>
        </w:rPr>
        <w:t xml:space="preserve"> (potkategorija 732000),</w:t>
      </w:r>
      <w:r w:rsidR="00F120C5" w:rsidRPr="00316CD9">
        <w:rPr>
          <w:lang w:val="hr-HR"/>
        </w:rPr>
        <w:t xml:space="preserve"> kako slijedi:</w:t>
      </w:r>
    </w:p>
    <w:p w14:paraId="744847B8" w14:textId="797BDFDF" w:rsidR="00AE5E7C" w:rsidRPr="00316CD9" w:rsidRDefault="00CA1958" w:rsidP="00D63FFB">
      <w:pPr>
        <w:numPr>
          <w:ilvl w:val="2"/>
          <w:numId w:val="4"/>
        </w:numPr>
        <w:tabs>
          <w:tab w:val="clear" w:pos="2160"/>
          <w:tab w:val="num" w:pos="1560"/>
        </w:tabs>
        <w:ind w:left="1560"/>
        <w:jc w:val="both"/>
        <w:rPr>
          <w:lang w:val="hr-HR"/>
        </w:rPr>
      </w:pPr>
      <w:r w:rsidRPr="00316CD9">
        <w:rPr>
          <w:lang w:val="hr-HR"/>
        </w:rPr>
        <w:t xml:space="preserve">sredstva iz Proračuna FBiH </w:t>
      </w:r>
      <w:r w:rsidR="00D25AF4" w:rsidRPr="00316CD9">
        <w:rPr>
          <w:lang w:val="hr-HR"/>
        </w:rPr>
        <w:t>Ministarstvu zdravstva, rada i socijalne politike za primjenu Zakona o zaštiti civilnih žrtava rata u Federaciji Bosne i Hercegovine («Službene novine Federacije Bosne i Hercegovine», broj: 60/23), u iznosu od 271.320 KM</w:t>
      </w:r>
      <w:r w:rsidR="006D3E79" w:rsidRPr="00316CD9">
        <w:rPr>
          <w:lang w:val="hr-HR"/>
        </w:rPr>
        <w:t>,</w:t>
      </w:r>
    </w:p>
    <w:p w14:paraId="43C8BE3A" w14:textId="69E7A3B5" w:rsidR="00061DDF" w:rsidRPr="00316CD9" w:rsidRDefault="007A4073" w:rsidP="00D63FFB">
      <w:pPr>
        <w:numPr>
          <w:ilvl w:val="2"/>
          <w:numId w:val="4"/>
        </w:numPr>
        <w:tabs>
          <w:tab w:val="clear" w:pos="2160"/>
          <w:tab w:val="num" w:pos="1560"/>
        </w:tabs>
        <w:ind w:left="1560"/>
        <w:jc w:val="both"/>
        <w:rPr>
          <w:lang w:val="hr-HR"/>
        </w:rPr>
      </w:pPr>
      <w:r w:rsidRPr="00316CD9">
        <w:rPr>
          <w:lang w:val="hr-HR"/>
        </w:rPr>
        <w:t>preostali dio razgraničenog tekućeg granta od Federalnog ministarstva prostornog uređenja dodijeljenog Ministarstvu poljoprivrede, vodoprivrede i šumarstva Županije Posavske na temelju Ugovora o sufinanciranju projekta „Uređenje odvodne kanalske mreže na prostoru ŽP“ u iznosu od 100.000 KM</w:t>
      </w:r>
      <w:r w:rsidR="00C13F81" w:rsidRPr="00316CD9">
        <w:rPr>
          <w:lang w:val="hr-HR"/>
        </w:rPr>
        <w:t>,</w:t>
      </w:r>
    </w:p>
    <w:p w14:paraId="212A7FB6" w14:textId="224BF671" w:rsidR="009B6E1E" w:rsidRPr="00316CD9" w:rsidRDefault="002A0B35" w:rsidP="009B6E1E">
      <w:pPr>
        <w:numPr>
          <w:ilvl w:val="2"/>
          <w:numId w:val="4"/>
        </w:numPr>
        <w:tabs>
          <w:tab w:val="clear" w:pos="2160"/>
          <w:tab w:val="num" w:pos="1560"/>
        </w:tabs>
        <w:ind w:left="1560"/>
        <w:jc w:val="both"/>
        <w:rPr>
          <w:lang w:val="hr-HR"/>
        </w:rPr>
      </w:pPr>
      <w:r w:rsidRPr="00316CD9">
        <w:rPr>
          <w:lang w:val="hr-HR"/>
        </w:rPr>
        <w:t>s</w:t>
      </w:r>
      <w:r w:rsidR="009B6E1E" w:rsidRPr="00316CD9">
        <w:rPr>
          <w:lang w:val="hr-HR"/>
        </w:rPr>
        <w:t xml:space="preserve">redstva </w:t>
      </w:r>
      <w:r w:rsidR="009F5C5A" w:rsidRPr="00316CD9">
        <w:rPr>
          <w:lang w:val="hr-HR"/>
        </w:rPr>
        <w:t>iz</w:t>
      </w:r>
      <w:r w:rsidR="009B6E1E" w:rsidRPr="00316CD9">
        <w:rPr>
          <w:lang w:val="hr-HR"/>
        </w:rPr>
        <w:t xml:space="preserve"> Proračun</w:t>
      </w:r>
      <w:r w:rsidR="009F5C5A" w:rsidRPr="00316CD9">
        <w:rPr>
          <w:lang w:val="hr-HR"/>
        </w:rPr>
        <w:t>a</w:t>
      </w:r>
      <w:r w:rsidR="009B6E1E" w:rsidRPr="00316CD9">
        <w:rPr>
          <w:lang w:val="hr-HR"/>
        </w:rPr>
        <w:t xml:space="preserve"> Federacije Bosne i Hercegovine za </w:t>
      </w:r>
      <w:r w:rsidRPr="00316CD9">
        <w:rPr>
          <w:lang w:val="hr-HR"/>
        </w:rPr>
        <w:t>2025</w:t>
      </w:r>
      <w:r w:rsidR="009B6E1E" w:rsidRPr="00316CD9">
        <w:rPr>
          <w:lang w:val="hr-HR"/>
        </w:rPr>
        <w:t>. godinu Federalnom ministarstvu finansija-Federalnom ministarstvu financija s ekonomskog koda „Tekući transferi drugim razinama vlasti i fondovima – kantoni“</w:t>
      </w:r>
      <w:r w:rsidR="00870AA9" w:rsidRPr="00316CD9">
        <w:rPr>
          <w:lang w:val="hr-HR"/>
        </w:rPr>
        <w:t xml:space="preserve"> </w:t>
      </w:r>
      <w:r w:rsidR="009B6E1E" w:rsidRPr="00316CD9">
        <w:rPr>
          <w:lang w:val="hr-HR"/>
        </w:rPr>
        <w:t xml:space="preserve">u ukupnom iznosu od </w:t>
      </w:r>
      <w:r w:rsidR="009F5C5A" w:rsidRPr="00316CD9">
        <w:rPr>
          <w:lang w:val="hr-HR"/>
        </w:rPr>
        <w:t>7.</w:t>
      </w:r>
      <w:r w:rsidRPr="00316CD9">
        <w:rPr>
          <w:lang w:val="hr-HR"/>
        </w:rPr>
        <w:t>100</w:t>
      </w:r>
      <w:r w:rsidR="009F5C5A" w:rsidRPr="00316CD9">
        <w:rPr>
          <w:lang w:val="hr-HR"/>
        </w:rPr>
        <w:t>.</w:t>
      </w:r>
      <w:r w:rsidRPr="00316CD9">
        <w:rPr>
          <w:lang w:val="hr-HR"/>
        </w:rPr>
        <w:t>000</w:t>
      </w:r>
      <w:r w:rsidR="009B6E1E" w:rsidRPr="00316CD9">
        <w:rPr>
          <w:lang w:val="hr-HR"/>
        </w:rPr>
        <w:t xml:space="preserve"> KM</w:t>
      </w:r>
      <w:r w:rsidR="00061DDF" w:rsidRPr="00316CD9">
        <w:rPr>
          <w:lang w:val="hr-HR"/>
        </w:rPr>
        <w:t>,</w:t>
      </w:r>
    </w:p>
    <w:p w14:paraId="75141A18" w14:textId="678C29BB" w:rsidR="00230420" w:rsidRPr="00316CD9" w:rsidRDefault="002B4568" w:rsidP="002B4568">
      <w:pPr>
        <w:numPr>
          <w:ilvl w:val="2"/>
          <w:numId w:val="4"/>
        </w:numPr>
        <w:tabs>
          <w:tab w:val="clear" w:pos="2160"/>
          <w:tab w:val="num" w:pos="1560"/>
        </w:tabs>
        <w:ind w:left="1560"/>
        <w:jc w:val="both"/>
        <w:rPr>
          <w:lang w:val="hr-HR"/>
        </w:rPr>
      </w:pPr>
      <w:r w:rsidRPr="00316CD9">
        <w:rPr>
          <w:bCs/>
          <w:color w:val="000000"/>
          <w:lang w:val="hr-HR" w:eastAsia="hr-HR"/>
        </w:rPr>
        <w:t>g</w:t>
      </w:r>
      <w:r w:rsidR="00230420" w:rsidRPr="00316CD9">
        <w:rPr>
          <w:bCs/>
          <w:color w:val="000000"/>
          <w:lang w:val="hr-HR" w:eastAsia="hr-HR"/>
        </w:rPr>
        <w:t xml:space="preserve">rant od Federalnog zavoda za upošljavanje Županije Posavske </w:t>
      </w:r>
      <w:r w:rsidR="00230420" w:rsidRPr="00316CD9">
        <w:rPr>
          <w:lang w:val="hr-HR"/>
        </w:rPr>
        <w:t xml:space="preserve">na temelju Ugovorâ o sufinanciranju zapošljavanja (prvo radno iskustvo-pripravnici) u ukupnom iznosu od </w:t>
      </w:r>
      <w:r w:rsidRPr="00316CD9">
        <w:rPr>
          <w:lang w:val="hr-HR"/>
        </w:rPr>
        <w:t>66.000</w:t>
      </w:r>
      <w:r w:rsidR="00230420" w:rsidRPr="00316CD9">
        <w:rPr>
          <w:lang w:val="hr-HR"/>
        </w:rPr>
        <w:t xml:space="preserve"> KM</w:t>
      </w:r>
      <w:r w:rsidR="00230420" w:rsidRPr="00316CD9">
        <w:rPr>
          <w:bCs/>
          <w:color w:val="000000"/>
          <w:lang w:val="hr-HR" w:eastAsia="hr-HR"/>
        </w:rPr>
        <w:t>, i</w:t>
      </w:r>
    </w:p>
    <w:p w14:paraId="15B9829F" w14:textId="68534104" w:rsidR="00AE5E7C" w:rsidRPr="00316CD9" w:rsidRDefault="00230420" w:rsidP="002B4568">
      <w:pPr>
        <w:numPr>
          <w:ilvl w:val="2"/>
          <w:numId w:val="4"/>
        </w:numPr>
        <w:tabs>
          <w:tab w:val="clear" w:pos="2160"/>
          <w:tab w:val="num" w:pos="1560"/>
        </w:tabs>
        <w:ind w:left="1560"/>
        <w:jc w:val="both"/>
        <w:rPr>
          <w:lang w:val="hr-HR"/>
        </w:rPr>
      </w:pPr>
      <w:r w:rsidRPr="00316CD9">
        <w:rPr>
          <w:lang w:val="hr-HR"/>
        </w:rPr>
        <w:lastRenderedPageBreak/>
        <w:t xml:space="preserve">grant od Službe za upošljavanje Županije Posavske na temelju Ugovora o sufinanciranju odgovarajućeg stručnog kadra za djecu s poteškoćama u razvoju u osnovnom obrazovanju u redovnoj nastavi u FBiH u iznosu od </w:t>
      </w:r>
      <w:r w:rsidR="002B4568" w:rsidRPr="00316CD9">
        <w:rPr>
          <w:lang w:val="hr-HR"/>
        </w:rPr>
        <w:t>72</w:t>
      </w:r>
      <w:r w:rsidRPr="00316CD9">
        <w:rPr>
          <w:lang w:val="hr-HR"/>
        </w:rPr>
        <w:t>.000 KM</w:t>
      </w:r>
      <w:r w:rsidR="000F7A2F" w:rsidRPr="00316CD9">
        <w:rPr>
          <w:lang w:val="hr-HR"/>
        </w:rPr>
        <w:t>.</w:t>
      </w:r>
    </w:p>
    <w:p w14:paraId="08D4D552" w14:textId="77777777" w:rsidR="000E2364" w:rsidRPr="00316CD9" w:rsidRDefault="000E2364" w:rsidP="000E2364">
      <w:pPr>
        <w:ind w:left="1560"/>
        <w:jc w:val="both"/>
        <w:rPr>
          <w:lang w:val="hr-HR"/>
        </w:rPr>
      </w:pPr>
    </w:p>
    <w:p w14:paraId="6808702C" w14:textId="31E07C0A" w:rsidR="00AE5E7C" w:rsidRPr="00316CD9" w:rsidRDefault="00AE5E7C" w:rsidP="00AE5E7C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U </w:t>
      </w:r>
      <w:r w:rsidR="002B4568" w:rsidRPr="00316CD9">
        <w:rPr>
          <w:lang w:val="hr-HR"/>
        </w:rPr>
        <w:t>2025</w:t>
      </w:r>
      <w:r w:rsidRPr="00316CD9">
        <w:rPr>
          <w:lang w:val="hr-HR"/>
        </w:rPr>
        <w:t>. godini</w:t>
      </w:r>
      <w:r w:rsidR="001B5FA2" w:rsidRPr="00316CD9">
        <w:rPr>
          <w:lang w:val="hr-HR"/>
        </w:rPr>
        <w:t xml:space="preserve"> </w:t>
      </w:r>
      <w:r w:rsidRPr="00316CD9">
        <w:rPr>
          <w:lang w:val="hr-HR"/>
        </w:rPr>
        <w:t xml:space="preserve">ne planiraju se </w:t>
      </w:r>
      <w:r w:rsidR="001B5FA2" w:rsidRPr="00316CD9">
        <w:rPr>
          <w:lang w:val="hr-HR"/>
        </w:rPr>
        <w:t>donacije</w:t>
      </w:r>
      <w:r w:rsidRPr="00316CD9">
        <w:rPr>
          <w:lang w:val="hr-HR"/>
        </w:rPr>
        <w:t>.</w:t>
      </w:r>
      <w:r w:rsidR="00113081" w:rsidRPr="00316CD9">
        <w:rPr>
          <w:lang w:val="hr-HR"/>
        </w:rPr>
        <w:t xml:space="preserve"> Ukoliko se iste ostvare tijekom godine unijet će se i rasporediti u</w:t>
      </w:r>
      <w:r w:rsidR="000110BC" w:rsidRPr="00316CD9">
        <w:rPr>
          <w:lang w:val="hr-HR"/>
        </w:rPr>
        <w:t xml:space="preserve"> Proračun odluka</w:t>
      </w:r>
      <w:r w:rsidR="00113081" w:rsidRPr="00316CD9">
        <w:rPr>
          <w:lang w:val="hr-HR"/>
        </w:rPr>
        <w:t>m</w:t>
      </w:r>
      <w:r w:rsidR="000110BC" w:rsidRPr="00316CD9">
        <w:rPr>
          <w:lang w:val="hr-HR"/>
        </w:rPr>
        <w:t>a</w:t>
      </w:r>
      <w:r w:rsidR="00113081" w:rsidRPr="00316CD9">
        <w:rPr>
          <w:lang w:val="hr-HR"/>
        </w:rPr>
        <w:t xml:space="preserve"> Vlade</w:t>
      </w:r>
      <w:r w:rsidR="000110BC" w:rsidRPr="00316CD9">
        <w:rPr>
          <w:lang w:val="hr-HR"/>
        </w:rPr>
        <w:t xml:space="preserve"> Županije Posavske</w:t>
      </w:r>
      <w:r w:rsidR="00113081" w:rsidRPr="00316CD9">
        <w:rPr>
          <w:lang w:val="hr-HR"/>
        </w:rPr>
        <w:t>.</w:t>
      </w:r>
    </w:p>
    <w:p w14:paraId="26C42978" w14:textId="77777777" w:rsidR="003E7134" w:rsidRPr="00316CD9" w:rsidRDefault="003E7134" w:rsidP="00AE5E7C">
      <w:pPr>
        <w:ind w:firstLine="720"/>
        <w:jc w:val="both"/>
        <w:rPr>
          <w:lang w:val="hr-HR"/>
        </w:rPr>
      </w:pPr>
    </w:p>
    <w:p w14:paraId="4E77A022" w14:textId="77777777" w:rsidR="00962233" w:rsidRPr="00316CD9" w:rsidRDefault="00962233" w:rsidP="00AE5E7C">
      <w:pPr>
        <w:ind w:firstLine="720"/>
        <w:jc w:val="both"/>
        <w:rPr>
          <w:lang w:val="hr-HR"/>
        </w:rPr>
      </w:pPr>
    </w:p>
    <w:p w14:paraId="5E471363" w14:textId="77777777" w:rsidR="00CA1958" w:rsidRPr="00316CD9" w:rsidRDefault="00CA1958">
      <w:pPr>
        <w:pStyle w:val="Uvuenotijeloteksta"/>
        <w:spacing w:line="240" w:lineRule="auto"/>
        <w:rPr>
          <w:b/>
          <w:bCs/>
        </w:rPr>
      </w:pPr>
      <w:r w:rsidRPr="00316CD9">
        <w:rPr>
          <w:b/>
          <w:bCs/>
        </w:rPr>
        <w:t xml:space="preserve">4.1.4 </w:t>
      </w:r>
      <w:r w:rsidRPr="00316CD9">
        <w:rPr>
          <w:b/>
          <w:bCs/>
        </w:rPr>
        <w:tab/>
        <w:t>KAPITALNI GRANTOVI</w:t>
      </w:r>
    </w:p>
    <w:p w14:paraId="67BFB167" w14:textId="77777777" w:rsidR="00CA1958" w:rsidRPr="00316CD9" w:rsidRDefault="00CA1958">
      <w:pPr>
        <w:pStyle w:val="Uvuenotijeloteksta"/>
        <w:spacing w:line="240" w:lineRule="auto"/>
        <w:ind w:firstLine="0"/>
        <w:rPr>
          <w:b/>
          <w:bCs/>
          <w:i/>
        </w:rPr>
      </w:pPr>
    </w:p>
    <w:p w14:paraId="4E61F518" w14:textId="77777777" w:rsidR="00906E24" w:rsidRPr="00316CD9" w:rsidRDefault="00696EBA" w:rsidP="009679C3">
      <w:pPr>
        <w:ind w:firstLine="720"/>
        <w:jc w:val="both"/>
        <w:rPr>
          <w:lang w:val="hr-HR"/>
        </w:rPr>
      </w:pPr>
      <w:r w:rsidRPr="00316CD9">
        <w:rPr>
          <w:lang w:val="hr-HR"/>
        </w:rPr>
        <w:t>Plan kapitalnih g</w:t>
      </w:r>
      <w:r w:rsidR="000110BC" w:rsidRPr="00316CD9">
        <w:rPr>
          <w:lang w:val="hr-HR"/>
        </w:rPr>
        <w:t>rantov</w:t>
      </w:r>
      <w:r w:rsidRPr="00316CD9">
        <w:rPr>
          <w:lang w:val="hr-HR"/>
        </w:rPr>
        <w:t>a</w:t>
      </w:r>
      <w:r w:rsidR="000110BC" w:rsidRPr="00316CD9">
        <w:rPr>
          <w:lang w:val="hr-HR"/>
        </w:rPr>
        <w:t xml:space="preserve"> (kategorija 740000)</w:t>
      </w:r>
      <w:r w:rsidRPr="00316CD9">
        <w:rPr>
          <w:lang w:val="hr-HR"/>
        </w:rPr>
        <w:t xml:space="preserve"> u </w:t>
      </w:r>
      <w:r w:rsidR="002E55BC" w:rsidRPr="00316CD9">
        <w:rPr>
          <w:lang w:val="hr-HR"/>
        </w:rPr>
        <w:t>2025</w:t>
      </w:r>
      <w:r w:rsidRPr="00316CD9">
        <w:rPr>
          <w:lang w:val="hr-HR"/>
        </w:rPr>
        <w:t xml:space="preserve">. godini iznosi </w:t>
      </w:r>
      <w:r w:rsidR="0004504D" w:rsidRPr="00316CD9">
        <w:rPr>
          <w:lang w:val="hr-HR"/>
        </w:rPr>
        <w:t>ukupno 441.700 KM</w:t>
      </w:r>
      <w:r w:rsidR="00906E24" w:rsidRPr="00316CD9">
        <w:rPr>
          <w:lang w:val="hr-HR"/>
        </w:rPr>
        <w:t xml:space="preserve">, </w:t>
      </w:r>
      <w:r w:rsidRPr="00316CD9">
        <w:rPr>
          <w:lang w:val="hr-HR"/>
        </w:rPr>
        <w:t>a odnosi se na</w:t>
      </w:r>
      <w:r w:rsidR="00906E24" w:rsidRPr="00316CD9">
        <w:rPr>
          <w:lang w:val="hr-HR"/>
        </w:rPr>
        <w:t>:</w:t>
      </w:r>
      <w:r w:rsidRPr="00316CD9">
        <w:rPr>
          <w:lang w:val="hr-HR"/>
        </w:rPr>
        <w:t xml:space="preserve"> </w:t>
      </w:r>
    </w:p>
    <w:p w14:paraId="4005A099" w14:textId="26501A4D" w:rsidR="0023233E" w:rsidRPr="00316CD9" w:rsidRDefault="00696EBA" w:rsidP="00906E24">
      <w:pPr>
        <w:pStyle w:val="Odlomakpopisa"/>
        <w:numPr>
          <w:ilvl w:val="0"/>
          <w:numId w:val="4"/>
        </w:numPr>
        <w:jc w:val="both"/>
      </w:pPr>
      <w:r w:rsidRPr="00316CD9">
        <w:t xml:space="preserve">kapitalni grant od </w:t>
      </w:r>
      <w:r w:rsidR="000F7A2F" w:rsidRPr="00316CD9">
        <w:t xml:space="preserve">Središnjeg državnog ureda za Hrvate izvan Republike Hrvatske </w:t>
      </w:r>
      <w:r w:rsidRPr="00316CD9">
        <w:t xml:space="preserve">dodijeljen </w:t>
      </w:r>
      <w:r w:rsidR="000F7A2F" w:rsidRPr="00316CD9">
        <w:t>Ministarstvu prosvjete, znanosti, kulture i sporta Županije Posavske</w:t>
      </w:r>
      <w:r w:rsidRPr="00316CD9">
        <w:t xml:space="preserve"> u </w:t>
      </w:r>
      <w:r w:rsidR="00CB438F" w:rsidRPr="00316CD9">
        <w:t>2024</w:t>
      </w:r>
      <w:r w:rsidRPr="00316CD9">
        <w:t>. godini za projekt „</w:t>
      </w:r>
      <w:r w:rsidR="009679C3" w:rsidRPr="00316CD9">
        <w:t>Unapređenje odgojno-obrazovnog sustava u Osnovnoj školi V.Nazora u Odžaku - Sportska dvorana - I.faza</w:t>
      </w:r>
      <w:r w:rsidRPr="00316CD9">
        <w:t xml:space="preserve">“, a čija se namjenska potrošnja  neće realizirati u </w:t>
      </w:r>
      <w:r w:rsidR="009679C3" w:rsidRPr="00316CD9">
        <w:t>2024</w:t>
      </w:r>
      <w:r w:rsidRPr="00316CD9">
        <w:t>. godini</w:t>
      </w:r>
      <w:r w:rsidR="005E0623">
        <w:t>,</w:t>
      </w:r>
    </w:p>
    <w:p w14:paraId="73B7F630" w14:textId="164F1DBB" w:rsidR="00906E24" w:rsidRPr="00316CD9" w:rsidRDefault="00906E24" w:rsidP="00AC0AEA">
      <w:pPr>
        <w:pStyle w:val="Odlomakpopisa"/>
        <w:numPr>
          <w:ilvl w:val="0"/>
          <w:numId w:val="4"/>
        </w:numPr>
        <w:jc w:val="both"/>
      </w:pPr>
      <w:r w:rsidRPr="00316CD9">
        <w:t>kapitalni grant</w:t>
      </w:r>
      <w:r w:rsidR="001A3B18" w:rsidRPr="00316CD9">
        <w:t xml:space="preserve"> od Fonda za zaštitu okoliša Federacije Bosne i Hercegovine</w:t>
      </w:r>
      <w:r w:rsidR="00B942FA" w:rsidRPr="00316CD9">
        <w:t xml:space="preserve"> Ministarstvu prometa, veza i zaštite okoliša Županije Posavske</w:t>
      </w:r>
      <w:r w:rsidR="00475E1D" w:rsidRPr="00316CD9">
        <w:t xml:space="preserve"> u svrhu provedbe projekta „</w:t>
      </w:r>
      <w:r w:rsidR="003115D8" w:rsidRPr="00316CD9">
        <w:t xml:space="preserve">Sanacija divljih odlagališta otpada u području zaštićenih kopnenih krajobraza u zonama izvorišta i uz vodotoke“ na temelju potpisanih ugovora u ukupnom iznosu od </w:t>
      </w:r>
      <w:r w:rsidR="00223A2B" w:rsidRPr="00316CD9">
        <w:t>167.000 KM, i</w:t>
      </w:r>
    </w:p>
    <w:p w14:paraId="17907D88" w14:textId="18F2A8CF" w:rsidR="00223A2B" w:rsidRPr="00316CD9" w:rsidRDefault="00223A2B" w:rsidP="0070295B">
      <w:pPr>
        <w:pStyle w:val="Odlomakpopisa"/>
        <w:numPr>
          <w:ilvl w:val="0"/>
          <w:numId w:val="4"/>
        </w:numPr>
        <w:jc w:val="both"/>
      </w:pPr>
      <w:r w:rsidRPr="00316CD9">
        <w:t>kapitalni grant od Fonda za zaštitu okoliša Federacije Bosne i Hercegovine Ministarstvu prometa, veza i zaštite okoliša Županije Posavske u svrhu provedbe projekta „</w:t>
      </w:r>
      <w:r w:rsidR="00AA29B3" w:rsidRPr="00316CD9">
        <w:t>Inventarizacija, valorizacija i analiza trenutnog stanja krajobraza Starače i Tišina</w:t>
      </w:r>
      <w:r w:rsidRPr="00316CD9">
        <w:t>“ na temelju potpisan</w:t>
      </w:r>
      <w:r w:rsidR="00AA29B3" w:rsidRPr="00316CD9">
        <w:t>og</w:t>
      </w:r>
      <w:r w:rsidRPr="00316CD9">
        <w:t xml:space="preserve"> ugovora u iznosu od </w:t>
      </w:r>
      <w:r w:rsidR="00BC4EA7" w:rsidRPr="00316CD9">
        <w:t>40</w:t>
      </w:r>
      <w:r w:rsidRPr="00316CD9">
        <w:t>.000 KM</w:t>
      </w:r>
      <w:r w:rsidR="00BC4EA7" w:rsidRPr="00316CD9">
        <w:t>.</w:t>
      </w:r>
    </w:p>
    <w:p w14:paraId="0F281905" w14:textId="77777777" w:rsidR="00BC4EA7" w:rsidRPr="00316CD9" w:rsidRDefault="00BC4EA7" w:rsidP="000110BC">
      <w:pPr>
        <w:ind w:firstLine="720"/>
        <w:jc w:val="both"/>
        <w:rPr>
          <w:lang w:val="hr-HR"/>
        </w:rPr>
      </w:pPr>
    </w:p>
    <w:p w14:paraId="32EEE1CD" w14:textId="3042D668" w:rsidR="000110BC" w:rsidRPr="00316CD9" w:rsidRDefault="000F7A2F" w:rsidP="000110BC">
      <w:pPr>
        <w:ind w:firstLine="720"/>
        <w:jc w:val="both"/>
        <w:rPr>
          <w:lang w:val="hr-HR"/>
        </w:rPr>
      </w:pPr>
      <w:r w:rsidRPr="00316CD9">
        <w:rPr>
          <w:lang w:val="hr-HR"/>
        </w:rPr>
        <w:t>Realizirani a neplanirani k</w:t>
      </w:r>
      <w:r w:rsidR="00696EBA" w:rsidRPr="00316CD9">
        <w:rPr>
          <w:lang w:val="hr-HR"/>
        </w:rPr>
        <w:t>apitalni grantov</w:t>
      </w:r>
      <w:r w:rsidRPr="00316CD9">
        <w:rPr>
          <w:lang w:val="hr-HR"/>
        </w:rPr>
        <w:t>i unijet će se i raspodijelit</w:t>
      </w:r>
      <w:r w:rsidR="00475E1D" w:rsidRPr="00316CD9">
        <w:rPr>
          <w:lang w:val="hr-HR"/>
        </w:rPr>
        <w:t>i</w:t>
      </w:r>
      <w:r w:rsidR="00C22696" w:rsidRPr="00316CD9">
        <w:rPr>
          <w:lang w:val="hr-HR"/>
        </w:rPr>
        <w:t xml:space="preserve"> </w:t>
      </w:r>
      <w:r w:rsidR="000110BC" w:rsidRPr="00316CD9">
        <w:rPr>
          <w:lang w:val="hr-HR"/>
        </w:rPr>
        <w:t>u Proračun odlukama Vlade Županije Posavske.</w:t>
      </w:r>
    </w:p>
    <w:p w14:paraId="1159559C" w14:textId="77777777" w:rsidR="000110BC" w:rsidRPr="00316CD9" w:rsidRDefault="000110BC" w:rsidP="00AD7B8F">
      <w:pPr>
        <w:pStyle w:val="Uvuenotijeloteksta"/>
        <w:spacing w:line="240" w:lineRule="auto"/>
      </w:pPr>
    </w:p>
    <w:p w14:paraId="2B35F6DF" w14:textId="77777777" w:rsidR="00AD7B8F" w:rsidRPr="00316CD9" w:rsidRDefault="00AD7B8F">
      <w:pPr>
        <w:pStyle w:val="Uvuenotijeloteksta"/>
        <w:spacing w:line="240" w:lineRule="auto"/>
        <w:rPr>
          <w:b/>
          <w:bCs/>
        </w:rPr>
      </w:pPr>
    </w:p>
    <w:p w14:paraId="504CA180" w14:textId="77777777" w:rsidR="00CA1958" w:rsidRPr="00316CD9" w:rsidRDefault="00CA1958">
      <w:pPr>
        <w:pStyle w:val="Uvuenotijeloteksta"/>
        <w:spacing w:line="240" w:lineRule="auto"/>
        <w:rPr>
          <w:b/>
          <w:bCs/>
        </w:rPr>
      </w:pPr>
      <w:r w:rsidRPr="00316CD9">
        <w:rPr>
          <w:b/>
          <w:bCs/>
        </w:rPr>
        <w:t xml:space="preserve">4.1.5 </w:t>
      </w:r>
      <w:r w:rsidRPr="00316CD9">
        <w:rPr>
          <w:b/>
          <w:bCs/>
        </w:rPr>
        <w:tab/>
        <w:t>PRIHODI PO OSNOVI ZAOSTALIH OBVEZA</w:t>
      </w:r>
    </w:p>
    <w:p w14:paraId="26DC9932" w14:textId="77777777" w:rsidR="00CA1958" w:rsidRPr="00316CD9" w:rsidRDefault="00CA1958">
      <w:pPr>
        <w:pStyle w:val="Uvuenotijeloteksta"/>
        <w:spacing w:line="240" w:lineRule="auto"/>
        <w:ind w:firstLine="0"/>
        <w:rPr>
          <w:b/>
          <w:bCs/>
          <w:i/>
        </w:rPr>
      </w:pPr>
    </w:p>
    <w:p w14:paraId="77EDEA01" w14:textId="554D6713" w:rsidR="00CA1958" w:rsidRPr="00316CD9" w:rsidRDefault="00CA1958">
      <w:pPr>
        <w:pStyle w:val="Uvuenotijeloteksta"/>
        <w:spacing w:line="240" w:lineRule="auto"/>
      </w:pPr>
      <w:r w:rsidRPr="00316CD9">
        <w:t xml:space="preserve">Prihodi po osnovi zaostalih obveza (glavna kategorija) 770000 planirani su u iznosu od </w:t>
      </w:r>
      <w:r w:rsidR="00CC2F2B" w:rsidRPr="00316CD9">
        <w:t>1.</w:t>
      </w:r>
      <w:r w:rsidR="0048125A" w:rsidRPr="00316CD9">
        <w:t>250</w:t>
      </w:r>
      <w:r w:rsidRPr="00316CD9">
        <w:t xml:space="preserve"> KM. U ovu kategoriju prihoda spadaju uplate zaostalih obveza od poreza na promet visokotarifnih proizvoda kao i uplate zaostalih obveza od naknada za </w:t>
      </w:r>
      <w:r w:rsidR="000110BC" w:rsidRPr="00316CD9">
        <w:t>putove</w:t>
      </w:r>
      <w:r w:rsidRPr="00316CD9">
        <w:t xml:space="preserve"> iz cijene naftnih derivata.</w:t>
      </w:r>
    </w:p>
    <w:p w14:paraId="7D371634" w14:textId="77777777" w:rsidR="00FB659B" w:rsidRPr="00316CD9" w:rsidRDefault="00FB659B">
      <w:pPr>
        <w:jc w:val="both"/>
        <w:rPr>
          <w:lang w:val="hr-HR"/>
        </w:rPr>
      </w:pPr>
    </w:p>
    <w:p w14:paraId="6EE7DC53" w14:textId="77777777" w:rsidR="00581DC1" w:rsidRPr="00316CD9" w:rsidRDefault="00581DC1">
      <w:pPr>
        <w:jc w:val="both"/>
        <w:rPr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5"/>
        <w:gridCol w:w="8568"/>
      </w:tblGrid>
      <w:tr w:rsidR="00C27D3E" w:rsidRPr="00C27D3E" w14:paraId="757AB5D8" w14:textId="77777777" w:rsidTr="0002026B">
        <w:tc>
          <w:tcPr>
            <w:tcW w:w="828" w:type="dxa"/>
            <w:shd w:val="clear" w:color="auto" w:fill="404040"/>
          </w:tcPr>
          <w:p w14:paraId="4FFC4068" w14:textId="77777777" w:rsidR="00CA1958" w:rsidRPr="00316CD9" w:rsidRDefault="00CA1958">
            <w:pPr>
              <w:pStyle w:val="Naslov"/>
              <w:rPr>
                <w:color w:val="FFFFFF"/>
              </w:rPr>
            </w:pPr>
            <w:r w:rsidRPr="00316CD9">
              <w:br w:type="page"/>
            </w:r>
            <w:r w:rsidRPr="00316CD9">
              <w:rPr>
                <w:color w:val="FFFFFF"/>
              </w:rPr>
              <w:t>5.</w:t>
            </w:r>
          </w:p>
        </w:tc>
        <w:tc>
          <w:tcPr>
            <w:tcW w:w="8771" w:type="dxa"/>
            <w:shd w:val="clear" w:color="auto" w:fill="auto"/>
          </w:tcPr>
          <w:p w14:paraId="1B3FB11F" w14:textId="23065488" w:rsidR="00CA1958" w:rsidRPr="00C27D3E" w:rsidRDefault="00CA1958" w:rsidP="00625850">
            <w:pPr>
              <w:pStyle w:val="Naslov"/>
              <w:jc w:val="both"/>
            </w:pPr>
            <w:r w:rsidRPr="00C27D3E">
              <w:t xml:space="preserve">STRUKTURA PRORAČUNA ŽUPANIJE POSAVSKE ZA </w:t>
            </w:r>
            <w:r w:rsidR="00AD6948" w:rsidRPr="00C27D3E">
              <w:t>2025</w:t>
            </w:r>
            <w:r w:rsidRPr="00C27D3E">
              <w:t xml:space="preserve">. GODINU – </w:t>
            </w:r>
            <w:r w:rsidR="00AD7B8F" w:rsidRPr="00C27D3E">
              <w:t>RASHODI I IZDACI</w:t>
            </w:r>
          </w:p>
        </w:tc>
      </w:tr>
    </w:tbl>
    <w:p w14:paraId="7F9F1986" w14:textId="77777777" w:rsidR="00CA1958" w:rsidRPr="00316CD9" w:rsidRDefault="00CA1958">
      <w:pPr>
        <w:jc w:val="both"/>
        <w:rPr>
          <w:lang w:val="hr-HR"/>
        </w:rPr>
      </w:pPr>
    </w:p>
    <w:p w14:paraId="15A325D7" w14:textId="6BDDE3A3" w:rsidR="00CA1958" w:rsidRPr="00316CD9" w:rsidRDefault="00CA1958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Proračunom za fiskalnu </w:t>
      </w:r>
      <w:r w:rsidR="0002026B">
        <w:rPr>
          <w:lang w:val="hr-HR"/>
        </w:rPr>
        <w:t>2025</w:t>
      </w:r>
      <w:r w:rsidRPr="00316CD9">
        <w:rPr>
          <w:lang w:val="hr-HR"/>
        </w:rPr>
        <w:t xml:space="preserve">. godinu ukupno planirani rashodi i izdaci iznose </w:t>
      </w:r>
      <w:r w:rsidR="00213568">
        <w:rPr>
          <w:lang w:val="hr-HR"/>
        </w:rPr>
        <w:t>72.458.350</w:t>
      </w:r>
      <w:r w:rsidRPr="00316CD9">
        <w:rPr>
          <w:lang w:val="hr-HR"/>
        </w:rPr>
        <w:t xml:space="preserve"> KM</w:t>
      </w:r>
      <w:r w:rsidR="00AD7B8F" w:rsidRPr="00316CD9">
        <w:rPr>
          <w:lang w:val="hr-HR"/>
        </w:rPr>
        <w:t>,</w:t>
      </w:r>
      <w:r w:rsidRPr="00316CD9">
        <w:rPr>
          <w:lang w:val="hr-HR"/>
        </w:rPr>
        <w:t xml:space="preserve"> i </w:t>
      </w:r>
      <w:r w:rsidR="00AD7B8F" w:rsidRPr="00316CD9">
        <w:rPr>
          <w:lang w:val="hr-HR"/>
        </w:rPr>
        <w:t>veći</w:t>
      </w:r>
      <w:r w:rsidRPr="00316CD9">
        <w:rPr>
          <w:lang w:val="hr-HR"/>
        </w:rPr>
        <w:t xml:space="preserve"> su u odnosu na plan Proračuna za </w:t>
      </w:r>
      <w:r w:rsidR="00213568">
        <w:rPr>
          <w:lang w:val="hr-HR"/>
        </w:rPr>
        <w:t>2024</w:t>
      </w:r>
      <w:r w:rsidRPr="00316CD9">
        <w:rPr>
          <w:lang w:val="hr-HR"/>
        </w:rPr>
        <w:t xml:space="preserve">. godinu za </w:t>
      </w:r>
      <w:r w:rsidR="00213568">
        <w:rPr>
          <w:lang w:val="hr-HR"/>
        </w:rPr>
        <w:t>0,47</w:t>
      </w:r>
      <w:r w:rsidRPr="00316CD9">
        <w:rPr>
          <w:lang w:val="hr-HR"/>
        </w:rPr>
        <w:t xml:space="preserve">%, odnosno u apsolutnom iznosu </w:t>
      </w:r>
      <w:r w:rsidR="00AD7B8F" w:rsidRPr="00316CD9">
        <w:rPr>
          <w:lang w:val="hr-HR"/>
        </w:rPr>
        <w:t>veći</w:t>
      </w:r>
      <w:r w:rsidR="001B5FA2" w:rsidRPr="00316CD9">
        <w:rPr>
          <w:lang w:val="hr-HR"/>
        </w:rPr>
        <w:t xml:space="preserve"> </w:t>
      </w:r>
      <w:r w:rsidRPr="00316CD9">
        <w:rPr>
          <w:lang w:val="hr-HR"/>
        </w:rPr>
        <w:t xml:space="preserve">za </w:t>
      </w:r>
      <w:r w:rsidR="0015774E">
        <w:rPr>
          <w:lang w:val="hr-HR"/>
        </w:rPr>
        <w:t>338.550</w:t>
      </w:r>
      <w:r w:rsidRPr="00316CD9">
        <w:rPr>
          <w:lang w:val="hr-HR"/>
        </w:rPr>
        <w:t xml:space="preserve"> KM. Strukturu rashoda i izdataka čine </w:t>
      </w:r>
      <w:r w:rsidR="0089165F" w:rsidRPr="00316CD9">
        <w:rPr>
          <w:lang w:val="hr-HR"/>
        </w:rPr>
        <w:t xml:space="preserve">proračunski </w:t>
      </w:r>
      <w:r w:rsidRPr="00316CD9">
        <w:rPr>
          <w:lang w:val="hr-HR"/>
        </w:rPr>
        <w:t xml:space="preserve">rashodi </w:t>
      </w:r>
      <w:r w:rsidR="00AD7B8F" w:rsidRPr="00316CD9">
        <w:rPr>
          <w:lang w:val="hr-HR"/>
        </w:rPr>
        <w:t xml:space="preserve">u iznosu od </w:t>
      </w:r>
      <w:r w:rsidR="0015774E">
        <w:rPr>
          <w:lang w:val="hr-HR"/>
        </w:rPr>
        <w:t>65.673.280</w:t>
      </w:r>
      <w:r w:rsidR="00AD7B8F" w:rsidRPr="00316CD9">
        <w:rPr>
          <w:lang w:val="hr-HR"/>
        </w:rPr>
        <w:t xml:space="preserve"> KM </w:t>
      </w:r>
      <w:r w:rsidRPr="00316CD9">
        <w:rPr>
          <w:lang w:val="hr-HR"/>
        </w:rPr>
        <w:t xml:space="preserve">s udjelom </w:t>
      </w:r>
      <w:r w:rsidR="00F104A5">
        <w:rPr>
          <w:lang w:val="hr-HR"/>
        </w:rPr>
        <w:t>90,6</w:t>
      </w:r>
      <w:r w:rsidR="000F5B5C">
        <w:rPr>
          <w:lang w:val="hr-HR"/>
        </w:rPr>
        <w:t>3</w:t>
      </w:r>
      <w:r w:rsidRPr="00316CD9">
        <w:rPr>
          <w:lang w:val="hr-HR"/>
        </w:rPr>
        <w:t>%</w:t>
      </w:r>
      <w:r w:rsidR="0089165F" w:rsidRPr="00316CD9">
        <w:rPr>
          <w:lang w:val="hr-HR"/>
        </w:rPr>
        <w:t xml:space="preserve">, izdaci za nabavku nefinancijske imovine </w:t>
      </w:r>
      <w:r w:rsidR="00AD7B8F" w:rsidRPr="00316CD9">
        <w:rPr>
          <w:lang w:val="hr-HR"/>
        </w:rPr>
        <w:t xml:space="preserve">u iznosu od </w:t>
      </w:r>
      <w:r w:rsidR="00F104A5">
        <w:rPr>
          <w:lang w:val="hr-HR"/>
        </w:rPr>
        <w:t>6.266.200</w:t>
      </w:r>
      <w:r w:rsidR="00AD7B8F" w:rsidRPr="00316CD9">
        <w:rPr>
          <w:lang w:val="hr-HR"/>
        </w:rPr>
        <w:t xml:space="preserve"> KM </w:t>
      </w:r>
      <w:r w:rsidR="0089165F" w:rsidRPr="00316CD9">
        <w:rPr>
          <w:lang w:val="hr-HR"/>
        </w:rPr>
        <w:t xml:space="preserve">s udjelom </w:t>
      </w:r>
      <w:r w:rsidR="00555A95">
        <w:rPr>
          <w:lang w:val="hr-HR"/>
        </w:rPr>
        <w:t>8,65</w:t>
      </w:r>
      <w:r w:rsidR="0089165F" w:rsidRPr="00316CD9">
        <w:rPr>
          <w:lang w:val="hr-HR"/>
        </w:rPr>
        <w:t>%</w:t>
      </w:r>
      <w:r w:rsidR="00AD7B8F" w:rsidRPr="00316CD9">
        <w:rPr>
          <w:lang w:val="hr-HR"/>
        </w:rPr>
        <w:t>,</w:t>
      </w:r>
      <w:r w:rsidR="0089165F" w:rsidRPr="00316CD9">
        <w:rPr>
          <w:lang w:val="hr-HR"/>
        </w:rPr>
        <w:t xml:space="preserve"> i izdaci za nabavku financijske imovine i otplate dugova</w:t>
      </w:r>
      <w:r w:rsidR="00AD7B8F" w:rsidRPr="00316CD9">
        <w:rPr>
          <w:lang w:val="hr-HR"/>
        </w:rPr>
        <w:t xml:space="preserve"> u iznosu od </w:t>
      </w:r>
      <w:r w:rsidR="000110BC" w:rsidRPr="00316CD9">
        <w:rPr>
          <w:lang w:val="hr-HR"/>
        </w:rPr>
        <w:t>518.</w:t>
      </w:r>
      <w:r w:rsidR="00C91870" w:rsidRPr="00316CD9">
        <w:rPr>
          <w:lang w:val="hr-HR"/>
        </w:rPr>
        <w:t>870</w:t>
      </w:r>
      <w:r w:rsidR="00AD7B8F" w:rsidRPr="00316CD9">
        <w:rPr>
          <w:lang w:val="hr-HR"/>
        </w:rPr>
        <w:t xml:space="preserve"> KM </w:t>
      </w:r>
      <w:r w:rsidR="0089165F" w:rsidRPr="00316CD9">
        <w:rPr>
          <w:lang w:val="hr-HR"/>
        </w:rPr>
        <w:t xml:space="preserve">s udjelom </w:t>
      </w:r>
      <w:r w:rsidR="00DB32FF" w:rsidRPr="00316CD9">
        <w:rPr>
          <w:lang w:val="hr-HR"/>
        </w:rPr>
        <w:t>0,</w:t>
      </w:r>
      <w:r w:rsidR="00C91870" w:rsidRPr="00316CD9">
        <w:rPr>
          <w:lang w:val="hr-HR"/>
        </w:rPr>
        <w:t>7</w:t>
      </w:r>
      <w:r w:rsidR="00423886">
        <w:rPr>
          <w:lang w:val="hr-HR"/>
        </w:rPr>
        <w:t>2</w:t>
      </w:r>
      <w:r w:rsidRPr="00316CD9">
        <w:rPr>
          <w:lang w:val="hr-HR"/>
        </w:rPr>
        <w:t>%.</w:t>
      </w:r>
    </w:p>
    <w:p w14:paraId="2EEF5BD5" w14:textId="56AD58AC" w:rsidR="00CA1958" w:rsidRPr="00316CD9" w:rsidRDefault="00CA1958">
      <w:pPr>
        <w:pStyle w:val="Tijeloteksta-uvlaka2"/>
        <w:rPr>
          <w:color w:val="auto"/>
        </w:rPr>
      </w:pPr>
      <w:r w:rsidRPr="00316CD9">
        <w:rPr>
          <w:color w:val="auto"/>
        </w:rPr>
        <w:t xml:space="preserve">Na slijedećem grafu prikazan je usporedni prikaz osnovnih skupina rashoda i izdataka u Proračunu Županije Posavske za </w:t>
      </w:r>
      <w:r w:rsidR="000F5B5C">
        <w:rPr>
          <w:color w:val="auto"/>
        </w:rPr>
        <w:t>2024</w:t>
      </w:r>
      <w:r w:rsidRPr="00316CD9">
        <w:rPr>
          <w:color w:val="auto"/>
        </w:rPr>
        <w:t xml:space="preserve">. i </w:t>
      </w:r>
      <w:r w:rsidR="000F5B5C">
        <w:rPr>
          <w:color w:val="auto"/>
        </w:rPr>
        <w:t>2025</w:t>
      </w:r>
      <w:r w:rsidRPr="00316CD9">
        <w:rPr>
          <w:color w:val="auto"/>
        </w:rPr>
        <w:t>. godinu.</w:t>
      </w:r>
    </w:p>
    <w:p w14:paraId="2FA2D318" w14:textId="77777777" w:rsidR="00CA1958" w:rsidRPr="00316CD9" w:rsidRDefault="00C74E2C">
      <w:pPr>
        <w:jc w:val="center"/>
        <w:rPr>
          <w:lang w:val="hr-HR"/>
        </w:rPr>
      </w:pPr>
      <w:r w:rsidRPr="00316CD9">
        <w:rPr>
          <w:noProof/>
          <w:lang w:val="hr-HR" w:eastAsia="hr-HR"/>
        </w:rPr>
        <w:lastRenderedPageBreak/>
        <w:drawing>
          <wp:inline distT="0" distB="0" distL="0" distR="0" wp14:anchorId="1C31099C" wp14:editId="3A07BE65">
            <wp:extent cx="5664200" cy="2616200"/>
            <wp:effectExtent l="0" t="0" r="0" b="0"/>
            <wp:docPr id="27" name="Objekt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4891BF5" w14:textId="77777777" w:rsidR="003A0397" w:rsidRPr="00316CD9" w:rsidRDefault="003A0397">
      <w:pPr>
        <w:jc w:val="center"/>
        <w:rPr>
          <w:lang w:val="hr-HR"/>
        </w:rPr>
      </w:pPr>
    </w:p>
    <w:p w14:paraId="52D66DA7" w14:textId="77777777" w:rsidR="003A0397" w:rsidRPr="00316CD9" w:rsidRDefault="003A0397">
      <w:pPr>
        <w:jc w:val="center"/>
        <w:rPr>
          <w:lang w:val="hr-HR"/>
        </w:rPr>
      </w:pPr>
    </w:p>
    <w:p w14:paraId="073979F6" w14:textId="77777777" w:rsidR="00CA1958" w:rsidRPr="00316CD9" w:rsidRDefault="002961C3">
      <w:pPr>
        <w:pStyle w:val="Naslov6"/>
        <w:spacing w:line="240" w:lineRule="auto"/>
        <w:ind w:left="0" w:firstLine="720"/>
      </w:pPr>
      <w:r w:rsidRPr="00316CD9">
        <w:t>5.1.</w:t>
      </w:r>
      <w:r w:rsidR="00CA1958" w:rsidRPr="00316CD9">
        <w:t xml:space="preserve"> </w:t>
      </w:r>
      <w:r w:rsidR="00CA1958" w:rsidRPr="00316CD9">
        <w:tab/>
      </w:r>
      <w:r w:rsidR="0089165F" w:rsidRPr="00316CD9">
        <w:t xml:space="preserve">PRORAČUNSKI </w:t>
      </w:r>
      <w:r w:rsidR="00CA1958" w:rsidRPr="00316CD9">
        <w:t>RASHODI</w:t>
      </w:r>
    </w:p>
    <w:p w14:paraId="4308811F" w14:textId="77777777" w:rsidR="00CA1958" w:rsidRPr="00316CD9" w:rsidRDefault="00CA1958">
      <w:pPr>
        <w:rPr>
          <w:lang w:val="hr-HR"/>
        </w:rPr>
      </w:pPr>
    </w:p>
    <w:p w14:paraId="384E694A" w14:textId="31B36327" w:rsidR="00CA1958" w:rsidRPr="00316CD9" w:rsidRDefault="00CA1958">
      <w:pPr>
        <w:autoSpaceDE w:val="0"/>
        <w:autoSpaceDN w:val="0"/>
        <w:adjustRightInd w:val="0"/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Proračunom ukupno planirani </w:t>
      </w:r>
      <w:r w:rsidR="0089165F" w:rsidRPr="00316CD9">
        <w:rPr>
          <w:lang w:val="hr-HR"/>
        </w:rPr>
        <w:t xml:space="preserve">proračunski </w:t>
      </w:r>
      <w:r w:rsidRPr="00316CD9">
        <w:rPr>
          <w:lang w:val="hr-HR"/>
        </w:rPr>
        <w:t>rashodi (potkategorije: 600000-tekuće pričuve, 611000, 612000, 613000</w:t>
      </w:r>
      <w:r w:rsidR="0089165F" w:rsidRPr="00316CD9">
        <w:rPr>
          <w:lang w:val="hr-HR"/>
        </w:rPr>
        <w:t>,</w:t>
      </w:r>
      <w:r w:rsidRPr="00316CD9">
        <w:rPr>
          <w:lang w:val="hr-HR"/>
        </w:rPr>
        <w:t xml:space="preserve"> 614000</w:t>
      </w:r>
      <w:r w:rsidR="007546E8" w:rsidRPr="00316CD9">
        <w:rPr>
          <w:lang w:val="hr-HR"/>
        </w:rPr>
        <w:t>, 615000</w:t>
      </w:r>
      <w:r w:rsidR="0089165F" w:rsidRPr="00316CD9">
        <w:rPr>
          <w:lang w:val="hr-HR"/>
        </w:rPr>
        <w:t xml:space="preserve"> i 616000</w:t>
      </w:r>
      <w:r w:rsidRPr="00316CD9">
        <w:rPr>
          <w:lang w:val="hr-HR"/>
        </w:rPr>
        <w:t xml:space="preserve">) iznose </w:t>
      </w:r>
      <w:r w:rsidR="00352E4F">
        <w:rPr>
          <w:lang w:val="hr-HR"/>
        </w:rPr>
        <w:t>65.673.280</w:t>
      </w:r>
      <w:r w:rsidRPr="00316CD9">
        <w:rPr>
          <w:lang w:val="hr-HR"/>
        </w:rPr>
        <w:t xml:space="preserve"> KM, odnosno </w:t>
      </w:r>
      <w:r w:rsidR="00B73F96">
        <w:rPr>
          <w:lang w:val="hr-HR"/>
        </w:rPr>
        <w:t>2,24</w:t>
      </w:r>
      <w:r w:rsidRPr="00316CD9">
        <w:rPr>
          <w:lang w:val="hr-HR"/>
        </w:rPr>
        <w:t xml:space="preserve">% </w:t>
      </w:r>
      <w:r w:rsidR="00AD7B8F" w:rsidRPr="00316CD9">
        <w:rPr>
          <w:lang w:val="hr-HR"/>
        </w:rPr>
        <w:t>više</w:t>
      </w:r>
      <w:r w:rsidRPr="00316CD9">
        <w:rPr>
          <w:lang w:val="hr-HR"/>
        </w:rPr>
        <w:t xml:space="preserve"> u odnosu na plan prethodne godine</w:t>
      </w:r>
      <w:r w:rsidR="00AD7B8F" w:rsidRPr="00316CD9">
        <w:rPr>
          <w:lang w:val="hr-HR"/>
        </w:rPr>
        <w:t>,</w:t>
      </w:r>
      <w:r w:rsidRPr="00316CD9">
        <w:rPr>
          <w:lang w:val="hr-HR"/>
        </w:rPr>
        <w:t xml:space="preserve"> ili </w:t>
      </w:r>
      <w:r w:rsidR="00B73F96">
        <w:rPr>
          <w:lang w:val="hr-HR"/>
        </w:rPr>
        <w:t>1.441.460</w:t>
      </w:r>
      <w:r w:rsidRPr="00316CD9">
        <w:rPr>
          <w:lang w:val="hr-HR"/>
        </w:rPr>
        <w:t xml:space="preserve"> KM </w:t>
      </w:r>
      <w:r w:rsidR="00AD7B8F" w:rsidRPr="00316CD9">
        <w:rPr>
          <w:lang w:val="hr-HR"/>
        </w:rPr>
        <w:t>više</w:t>
      </w:r>
      <w:r w:rsidRPr="00316CD9">
        <w:rPr>
          <w:lang w:val="hr-HR"/>
        </w:rPr>
        <w:t xml:space="preserve"> u apsolutnom iznosu.</w:t>
      </w:r>
    </w:p>
    <w:p w14:paraId="332A0C5B" w14:textId="77777777" w:rsidR="00CA1958" w:rsidRPr="00316CD9" w:rsidRDefault="00CA1958">
      <w:pPr>
        <w:autoSpaceDE w:val="0"/>
        <w:autoSpaceDN w:val="0"/>
        <w:adjustRightInd w:val="0"/>
        <w:jc w:val="both"/>
        <w:rPr>
          <w:b/>
          <w:bCs/>
          <w:sz w:val="20"/>
          <w:lang w:val="hr-HR"/>
        </w:rPr>
      </w:pPr>
    </w:p>
    <w:p w14:paraId="6F28DC0B" w14:textId="77777777" w:rsidR="00CA1958" w:rsidRPr="00316CD9" w:rsidRDefault="002961C3">
      <w:pPr>
        <w:pStyle w:val="Naslov7"/>
        <w:spacing w:line="240" w:lineRule="auto"/>
        <w:ind w:firstLine="720"/>
      </w:pPr>
      <w:r w:rsidRPr="00316CD9">
        <w:t>5.1.1.</w:t>
      </w:r>
      <w:r w:rsidRPr="00316CD9">
        <w:tab/>
      </w:r>
      <w:r w:rsidR="00CA1958" w:rsidRPr="00316CD9">
        <w:t>Tekuća pričuva</w:t>
      </w:r>
    </w:p>
    <w:p w14:paraId="0D8E7BCC" w14:textId="323CBA11" w:rsidR="00CA1958" w:rsidRPr="00316CD9" w:rsidRDefault="00CA1958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Tekuća pričuva (klasa 600000) planirana je u ukupnom iznosu od </w:t>
      </w:r>
      <w:r w:rsidR="00733C81">
        <w:rPr>
          <w:lang w:val="hr-HR"/>
        </w:rPr>
        <w:t>580</w:t>
      </w:r>
      <w:r w:rsidRPr="00316CD9">
        <w:rPr>
          <w:lang w:val="hr-HR"/>
        </w:rPr>
        <w:t>.000 KM</w:t>
      </w:r>
      <w:r w:rsidR="007546E8" w:rsidRPr="00316CD9">
        <w:rPr>
          <w:lang w:val="hr-HR"/>
        </w:rPr>
        <w:t>,</w:t>
      </w:r>
      <w:r w:rsidRPr="00316CD9">
        <w:rPr>
          <w:lang w:val="hr-HR"/>
        </w:rPr>
        <w:t xml:space="preserve"> te je u odnosu na planiranu tekuću pričuvu </w:t>
      </w:r>
      <w:r w:rsidR="00733C81">
        <w:rPr>
          <w:lang w:val="hr-HR"/>
        </w:rPr>
        <w:t>2024</w:t>
      </w:r>
      <w:r w:rsidRPr="00316CD9">
        <w:rPr>
          <w:lang w:val="hr-HR"/>
        </w:rPr>
        <w:t xml:space="preserve">. godine </w:t>
      </w:r>
      <w:r w:rsidR="009754FD" w:rsidRPr="00316CD9">
        <w:rPr>
          <w:lang w:val="hr-HR"/>
        </w:rPr>
        <w:t>manja</w:t>
      </w:r>
      <w:r w:rsidRPr="00316CD9">
        <w:rPr>
          <w:lang w:val="hr-HR"/>
        </w:rPr>
        <w:t xml:space="preserve"> za </w:t>
      </w:r>
      <w:r w:rsidR="00733C81">
        <w:rPr>
          <w:lang w:val="hr-HR"/>
        </w:rPr>
        <w:t>80</w:t>
      </w:r>
      <w:r w:rsidR="00DB32FF" w:rsidRPr="00316CD9">
        <w:rPr>
          <w:lang w:val="hr-HR"/>
        </w:rPr>
        <w:t>.000</w:t>
      </w:r>
      <w:r w:rsidR="009754FD" w:rsidRPr="00316CD9">
        <w:rPr>
          <w:lang w:val="hr-HR"/>
        </w:rPr>
        <w:t xml:space="preserve"> KM ili manja za </w:t>
      </w:r>
      <w:r w:rsidR="00665FC6">
        <w:rPr>
          <w:lang w:val="hr-HR"/>
        </w:rPr>
        <w:t>12,12</w:t>
      </w:r>
      <w:r w:rsidR="009754FD" w:rsidRPr="00316CD9">
        <w:rPr>
          <w:lang w:val="hr-HR"/>
        </w:rPr>
        <w:t>%.</w:t>
      </w:r>
    </w:p>
    <w:p w14:paraId="2E3006DE" w14:textId="68EAD210" w:rsidR="00CA1958" w:rsidRPr="00316CD9" w:rsidRDefault="00CA1958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Tekuća pričuva Vlade planirana je u iznosu </w:t>
      </w:r>
      <w:r w:rsidR="00C91870" w:rsidRPr="00316CD9">
        <w:rPr>
          <w:lang w:val="hr-HR"/>
        </w:rPr>
        <w:t>500</w:t>
      </w:r>
      <w:r w:rsidRPr="00316CD9">
        <w:rPr>
          <w:lang w:val="hr-HR"/>
        </w:rPr>
        <w:t xml:space="preserve">.000 KM. </w:t>
      </w:r>
    </w:p>
    <w:p w14:paraId="0384509D" w14:textId="5D61E9CE" w:rsidR="00CA1958" w:rsidRPr="00316CD9" w:rsidRDefault="00CA1958">
      <w:pPr>
        <w:pStyle w:val="Uvuenotijeloteksta"/>
        <w:spacing w:line="240" w:lineRule="auto"/>
      </w:pPr>
      <w:r w:rsidRPr="00316CD9">
        <w:t>Tekuće pričuva pre</w:t>
      </w:r>
      <w:r w:rsidR="005824CB" w:rsidRPr="00316CD9">
        <w:t xml:space="preserve">dsjednika Vlade iznosi </w:t>
      </w:r>
      <w:r w:rsidR="00665FC6">
        <w:t>40</w:t>
      </w:r>
      <w:r w:rsidR="005824CB" w:rsidRPr="00316CD9">
        <w:t>.000</w:t>
      </w:r>
      <w:r w:rsidRPr="00316CD9">
        <w:t xml:space="preserve"> KM, dok tekuće pričuve zamjenika predsjednika Vlade i minist</w:t>
      </w:r>
      <w:r w:rsidR="005824CB" w:rsidRPr="00316CD9">
        <w:t xml:space="preserve">ra financija iznose po </w:t>
      </w:r>
      <w:r w:rsidR="00665FC6">
        <w:t>20</w:t>
      </w:r>
      <w:r w:rsidR="005824CB" w:rsidRPr="00316CD9">
        <w:t>.000</w:t>
      </w:r>
      <w:r w:rsidRPr="00316CD9">
        <w:t xml:space="preserve"> KM.</w:t>
      </w:r>
    </w:p>
    <w:p w14:paraId="061541F9" w14:textId="32273C97" w:rsidR="00CA1958" w:rsidRPr="00316CD9" w:rsidRDefault="00CA1958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Učešće tekućih pričuva u ukupnim prihodima bez namjenskih prihoda, vlastitih prihoda i primitaka iznosi </w:t>
      </w:r>
      <w:r w:rsidR="00E402E4">
        <w:rPr>
          <w:lang w:val="hr-HR"/>
        </w:rPr>
        <w:t>0,85</w:t>
      </w:r>
      <w:r w:rsidRPr="00316CD9">
        <w:rPr>
          <w:lang w:val="hr-HR"/>
        </w:rPr>
        <w:t>%.</w:t>
      </w:r>
    </w:p>
    <w:p w14:paraId="7890A400" w14:textId="77777777" w:rsidR="00CA1958" w:rsidRPr="00316CD9" w:rsidRDefault="00CA1958">
      <w:pPr>
        <w:pStyle w:val="Naslov6"/>
        <w:spacing w:line="240" w:lineRule="auto"/>
        <w:ind w:left="0" w:firstLine="720"/>
        <w:rPr>
          <w:sz w:val="20"/>
        </w:rPr>
      </w:pPr>
    </w:p>
    <w:p w14:paraId="5FF09D31" w14:textId="77777777" w:rsidR="00CA1958" w:rsidRPr="00316CD9" w:rsidRDefault="002961C3">
      <w:pPr>
        <w:pStyle w:val="Naslov6"/>
        <w:spacing w:line="240" w:lineRule="auto"/>
        <w:ind w:left="0" w:firstLine="720"/>
      </w:pPr>
      <w:r w:rsidRPr="00316CD9">
        <w:t>5.1.2.</w:t>
      </w:r>
      <w:r w:rsidRPr="00316CD9">
        <w:tab/>
      </w:r>
      <w:r w:rsidR="00CA1958" w:rsidRPr="00316CD9">
        <w:t>Plaće i naknade troškova zaposlenih, doprinosi poslodavca i ostali doprinosi</w:t>
      </w:r>
    </w:p>
    <w:p w14:paraId="2CCB511F" w14:textId="74E868F4" w:rsidR="00CA1958" w:rsidRPr="00316CD9" w:rsidRDefault="00CA1958">
      <w:pPr>
        <w:jc w:val="both"/>
        <w:rPr>
          <w:lang w:val="hr-HR"/>
        </w:rPr>
      </w:pPr>
      <w:r w:rsidRPr="00316CD9">
        <w:rPr>
          <w:lang w:val="hr-HR"/>
        </w:rPr>
        <w:tab/>
        <w:t xml:space="preserve">Planirani izdaci na ime plaća i naknada troškova zaposlenih (potkategorija 611000) povećavaju se za </w:t>
      </w:r>
      <w:r w:rsidR="00263E57">
        <w:rPr>
          <w:lang w:val="hr-HR"/>
        </w:rPr>
        <w:t>3,58</w:t>
      </w:r>
      <w:r w:rsidRPr="00316CD9">
        <w:rPr>
          <w:lang w:val="hr-HR"/>
        </w:rPr>
        <w:t xml:space="preserve">% u odnosu na plan Proračuna </w:t>
      </w:r>
      <w:r w:rsidR="00263E57">
        <w:rPr>
          <w:lang w:val="hr-HR"/>
        </w:rPr>
        <w:t>2024</w:t>
      </w:r>
      <w:r w:rsidRPr="00316CD9">
        <w:rPr>
          <w:lang w:val="hr-HR"/>
        </w:rPr>
        <w:t>. godine</w:t>
      </w:r>
      <w:r w:rsidR="00082F7E" w:rsidRPr="00316CD9">
        <w:rPr>
          <w:lang w:val="hr-HR"/>
        </w:rPr>
        <w:t>,</w:t>
      </w:r>
      <w:r w:rsidRPr="00316CD9">
        <w:rPr>
          <w:lang w:val="hr-HR"/>
        </w:rPr>
        <w:t xml:space="preserve"> i iznose </w:t>
      </w:r>
      <w:r w:rsidR="00263E57">
        <w:rPr>
          <w:lang w:val="hr-HR"/>
        </w:rPr>
        <w:t>35.883.240</w:t>
      </w:r>
      <w:r w:rsidRPr="00316CD9">
        <w:rPr>
          <w:lang w:val="hr-HR"/>
        </w:rPr>
        <w:t xml:space="preserve"> KM. </w:t>
      </w:r>
    </w:p>
    <w:p w14:paraId="0EF3D075" w14:textId="6FD8C733" w:rsidR="00996282" w:rsidRPr="00316CD9" w:rsidRDefault="00CA1958" w:rsidP="009754FD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U okviru ove pozicije, izdaci za bruto plaće i naknade plaća (glavna grupa 611100) </w:t>
      </w:r>
      <w:r w:rsidR="009754FD" w:rsidRPr="00316CD9">
        <w:rPr>
          <w:lang w:val="hr-HR"/>
        </w:rPr>
        <w:t>povećani</w:t>
      </w:r>
      <w:r w:rsidRPr="00316CD9">
        <w:rPr>
          <w:lang w:val="hr-HR"/>
        </w:rPr>
        <w:t xml:space="preserve"> su za </w:t>
      </w:r>
      <w:r w:rsidR="00263E57">
        <w:rPr>
          <w:lang w:val="hr-HR"/>
        </w:rPr>
        <w:t>6,74</w:t>
      </w:r>
      <w:r w:rsidRPr="00316CD9">
        <w:rPr>
          <w:lang w:val="hr-HR"/>
        </w:rPr>
        <w:t xml:space="preserve">% u odnosu na plan za </w:t>
      </w:r>
      <w:r w:rsidR="00263E57">
        <w:rPr>
          <w:lang w:val="hr-HR"/>
        </w:rPr>
        <w:t>2024</w:t>
      </w:r>
      <w:r w:rsidRPr="00316CD9">
        <w:rPr>
          <w:lang w:val="hr-HR"/>
        </w:rPr>
        <w:t xml:space="preserve">. godinu. Planirani broj zaposlenih u proračunskim korisnicima u </w:t>
      </w:r>
      <w:r w:rsidR="00263E57">
        <w:rPr>
          <w:lang w:val="hr-HR"/>
        </w:rPr>
        <w:t>2025</w:t>
      </w:r>
      <w:r w:rsidRPr="00316CD9">
        <w:rPr>
          <w:lang w:val="hr-HR"/>
        </w:rPr>
        <w:t xml:space="preserve">. godini iznosi </w:t>
      </w:r>
      <w:r w:rsidR="00263E57">
        <w:rPr>
          <w:lang w:val="hr-HR"/>
        </w:rPr>
        <w:t>971</w:t>
      </w:r>
      <w:r w:rsidR="00CA7347" w:rsidRPr="00316CD9">
        <w:rPr>
          <w:lang w:val="hr-HR"/>
        </w:rPr>
        <w:t xml:space="preserve"> (bez vježbenika</w:t>
      </w:r>
      <w:r w:rsidR="00901680" w:rsidRPr="00316CD9">
        <w:rPr>
          <w:lang w:val="hr-HR"/>
        </w:rPr>
        <w:t xml:space="preserve"> i djelatnika u obrazovanju koji puni fond radnih sati ostvaruju u više škola</w:t>
      </w:r>
      <w:r w:rsidR="00CA7347" w:rsidRPr="00316CD9">
        <w:rPr>
          <w:lang w:val="hr-HR"/>
        </w:rPr>
        <w:t>)</w:t>
      </w:r>
      <w:r w:rsidR="00901680" w:rsidRPr="00316CD9">
        <w:rPr>
          <w:lang w:val="hr-HR"/>
        </w:rPr>
        <w:t>.</w:t>
      </w:r>
      <w:r w:rsidRPr="00316CD9">
        <w:rPr>
          <w:lang w:val="hr-HR"/>
        </w:rPr>
        <w:t xml:space="preserve"> </w:t>
      </w:r>
    </w:p>
    <w:p w14:paraId="3A90C2D7" w14:textId="0E310F2D" w:rsidR="00DF431E" w:rsidRPr="00316CD9" w:rsidRDefault="00901680" w:rsidP="00DF431E">
      <w:pPr>
        <w:ind w:firstLine="720"/>
        <w:jc w:val="both"/>
        <w:rPr>
          <w:lang w:val="hr-HR"/>
        </w:rPr>
      </w:pPr>
      <w:r w:rsidRPr="00316CD9">
        <w:rPr>
          <w:lang w:val="hr-HR"/>
        </w:rPr>
        <w:t>I</w:t>
      </w:r>
      <w:r w:rsidR="009754FD" w:rsidRPr="00316CD9">
        <w:rPr>
          <w:lang w:val="hr-HR"/>
        </w:rPr>
        <w:t xml:space="preserve">zdaci </w:t>
      </w:r>
      <w:r w:rsidRPr="00316CD9">
        <w:rPr>
          <w:lang w:val="hr-HR"/>
        </w:rPr>
        <w:t>za</w:t>
      </w:r>
      <w:r w:rsidR="009754FD" w:rsidRPr="00316CD9">
        <w:rPr>
          <w:lang w:val="hr-HR"/>
        </w:rPr>
        <w:t xml:space="preserve"> bruto plaće i naknade plaća te doprinose pos</w:t>
      </w:r>
      <w:r w:rsidR="00931AC1" w:rsidRPr="00316CD9">
        <w:rPr>
          <w:lang w:val="hr-HR"/>
        </w:rPr>
        <w:t>lodavca povećavaju se uslijed</w:t>
      </w:r>
      <w:r w:rsidR="009754FD" w:rsidRPr="00316CD9">
        <w:rPr>
          <w:lang w:val="hr-HR"/>
        </w:rPr>
        <w:t xml:space="preserve"> </w:t>
      </w:r>
      <w:r w:rsidR="00915439" w:rsidRPr="00316CD9">
        <w:rPr>
          <w:lang w:val="hr-HR"/>
        </w:rPr>
        <w:t xml:space="preserve">primjene </w:t>
      </w:r>
      <w:r w:rsidR="00FE3023" w:rsidRPr="00316CD9">
        <w:rPr>
          <w:lang w:val="hr-HR"/>
        </w:rPr>
        <w:t xml:space="preserve">nove </w:t>
      </w:r>
      <w:r w:rsidR="00915439" w:rsidRPr="00316CD9">
        <w:rPr>
          <w:lang w:val="hr-HR"/>
        </w:rPr>
        <w:t xml:space="preserve">osnovice za obračun plaća zaposlenika u proračunskim korisnicima (osim sudaca, tužitelja i stručnih suradnika u pravosuđu) </w:t>
      </w:r>
      <w:r w:rsidR="00FE3023" w:rsidRPr="00316CD9">
        <w:rPr>
          <w:lang w:val="hr-HR"/>
        </w:rPr>
        <w:t>u iznosu od</w:t>
      </w:r>
      <w:r w:rsidR="00915439" w:rsidRPr="00316CD9">
        <w:rPr>
          <w:lang w:val="hr-HR"/>
        </w:rPr>
        <w:t xml:space="preserve"> </w:t>
      </w:r>
      <w:r w:rsidR="00A52EAB">
        <w:rPr>
          <w:lang w:val="hr-HR"/>
        </w:rPr>
        <w:t>160</w:t>
      </w:r>
      <w:r w:rsidR="00915439" w:rsidRPr="00316CD9">
        <w:rPr>
          <w:lang w:val="hr-HR"/>
        </w:rPr>
        <w:t>,00 KM</w:t>
      </w:r>
      <w:r w:rsidR="000A6EB3">
        <w:rPr>
          <w:lang w:val="hr-HR"/>
        </w:rPr>
        <w:t xml:space="preserve"> od 01.07.2024. godine</w:t>
      </w:r>
      <w:r w:rsidR="00915439" w:rsidRPr="00316CD9">
        <w:rPr>
          <w:lang w:val="hr-HR"/>
        </w:rPr>
        <w:t xml:space="preserve"> (</w:t>
      </w:r>
      <w:r w:rsidR="007131D0" w:rsidRPr="00182EF9">
        <w:t xml:space="preserve">povećanje za </w:t>
      </w:r>
      <w:r w:rsidR="007131D0">
        <w:t>5,26</w:t>
      </w:r>
      <w:r w:rsidR="007131D0" w:rsidRPr="00182EF9">
        <w:t>%, “Narodne novine Županije Posavske”, broj: 1</w:t>
      </w:r>
      <w:r w:rsidR="007131D0">
        <w:t>1</w:t>
      </w:r>
      <w:r w:rsidR="007131D0" w:rsidRPr="00182EF9">
        <w:t>/2</w:t>
      </w:r>
      <w:r w:rsidR="007131D0">
        <w:t>4</w:t>
      </w:r>
      <w:r w:rsidR="00FC7E59" w:rsidRPr="00316CD9">
        <w:rPr>
          <w:lang w:val="hr-HR"/>
        </w:rPr>
        <w:t>)</w:t>
      </w:r>
      <w:r w:rsidR="00996282" w:rsidRPr="00316CD9">
        <w:rPr>
          <w:lang w:val="hr-HR"/>
        </w:rPr>
        <w:t xml:space="preserve">. </w:t>
      </w:r>
      <w:r w:rsidRPr="00316CD9">
        <w:rPr>
          <w:lang w:val="hr-HR"/>
        </w:rPr>
        <w:t>Nadalje, u</w:t>
      </w:r>
      <w:r w:rsidR="00DF431E" w:rsidRPr="00316CD9">
        <w:rPr>
          <w:lang w:val="hr-HR"/>
        </w:rPr>
        <w:t xml:space="preserve"> </w:t>
      </w:r>
      <w:r w:rsidR="00193543">
        <w:rPr>
          <w:lang w:val="hr-HR"/>
        </w:rPr>
        <w:t>2025</w:t>
      </w:r>
      <w:r w:rsidR="00DF431E" w:rsidRPr="00316CD9">
        <w:rPr>
          <w:lang w:val="hr-HR"/>
        </w:rPr>
        <w:t>. godin</w:t>
      </w:r>
      <w:r w:rsidR="00CA7347" w:rsidRPr="00316CD9">
        <w:rPr>
          <w:lang w:val="hr-HR"/>
        </w:rPr>
        <w:t>i</w:t>
      </w:r>
      <w:r w:rsidR="00DF431E" w:rsidRPr="00316CD9">
        <w:rPr>
          <w:lang w:val="hr-HR"/>
        </w:rPr>
        <w:t xml:space="preserve"> planirano je usklađivanje plaća sudaca, tužitelja i stručnih suradnika u pravosuđu, sukladno članku 6. Zakona o plaćama i drugim naknadama sudaca i tužitelja u Federaciji Bosne i Hercegovine („Službene novine FBiH“, broj: 72/05, 22/09</w:t>
      </w:r>
      <w:r w:rsidR="001E334F" w:rsidRPr="00316CD9">
        <w:rPr>
          <w:lang w:val="hr-HR"/>
        </w:rPr>
        <w:t>,</w:t>
      </w:r>
      <w:r w:rsidR="00DF431E" w:rsidRPr="00316CD9">
        <w:rPr>
          <w:lang w:val="hr-HR"/>
        </w:rPr>
        <w:t xml:space="preserve"> 55/13</w:t>
      </w:r>
      <w:r w:rsidR="001E334F" w:rsidRPr="00316CD9">
        <w:rPr>
          <w:lang w:val="hr-HR"/>
        </w:rPr>
        <w:t>, 61/22</w:t>
      </w:r>
      <w:r w:rsidR="00DF431E" w:rsidRPr="00316CD9">
        <w:rPr>
          <w:lang w:val="hr-HR"/>
        </w:rPr>
        <w:t>).</w:t>
      </w:r>
      <w:r w:rsidRPr="00316CD9">
        <w:rPr>
          <w:lang w:val="hr-HR"/>
        </w:rPr>
        <w:t xml:space="preserve"> </w:t>
      </w:r>
      <w:r w:rsidR="00CB7E3A" w:rsidRPr="00316CD9">
        <w:rPr>
          <w:lang w:val="hr-HR"/>
        </w:rPr>
        <w:t xml:space="preserve">Pri izračunu potrebnih sredstava za plaće i naknade primijenjeni su koeficijenti </w:t>
      </w:r>
      <w:r w:rsidR="00CB7E3A" w:rsidRPr="00F523D3">
        <w:rPr>
          <w:lang w:val="hr-HR"/>
        </w:rPr>
        <w:t>utvrđeni Zakonom o plaćama i naknadama u tijelima vlasti Županije Posavske („Narodne novine Županije</w:t>
      </w:r>
      <w:r w:rsidR="00CB7E3A" w:rsidRPr="00316CD9">
        <w:rPr>
          <w:lang w:val="hr-HR"/>
        </w:rPr>
        <w:t xml:space="preserve"> Posavske“, broj: 9/23</w:t>
      </w:r>
      <w:r w:rsidR="00336BE7">
        <w:rPr>
          <w:lang w:val="hr-HR"/>
        </w:rPr>
        <w:t xml:space="preserve">) </w:t>
      </w:r>
      <w:r w:rsidR="00D21991">
        <w:rPr>
          <w:lang w:val="hr-HR"/>
        </w:rPr>
        <w:t>i podzakonskim aktima.</w:t>
      </w:r>
    </w:p>
    <w:p w14:paraId="5E8F7DA2" w14:textId="01724358" w:rsidR="00CA1958" w:rsidRPr="00316CD9" w:rsidRDefault="00CA1958">
      <w:pPr>
        <w:ind w:firstLine="720"/>
        <w:jc w:val="both"/>
        <w:rPr>
          <w:szCs w:val="21"/>
          <w:lang w:val="hr-HR"/>
        </w:rPr>
      </w:pPr>
      <w:r w:rsidRPr="00316CD9">
        <w:rPr>
          <w:lang w:val="hr-HR"/>
        </w:rPr>
        <w:t>Naknade troškova zaposlenih (glavna grupa 611200) planiran</w:t>
      </w:r>
      <w:r w:rsidR="00B0096F" w:rsidRPr="00316CD9">
        <w:rPr>
          <w:lang w:val="hr-HR"/>
        </w:rPr>
        <w:t>e su</w:t>
      </w:r>
      <w:r w:rsidRPr="00316CD9">
        <w:rPr>
          <w:lang w:val="hr-HR"/>
        </w:rPr>
        <w:t xml:space="preserve"> u ukupnom iznosu od  </w:t>
      </w:r>
      <w:r w:rsidR="002554CE" w:rsidRPr="00316CD9">
        <w:rPr>
          <w:lang w:val="hr-HR"/>
        </w:rPr>
        <w:t>5.</w:t>
      </w:r>
      <w:r w:rsidR="00D21991">
        <w:rPr>
          <w:lang w:val="hr-HR"/>
        </w:rPr>
        <w:t>628</w:t>
      </w:r>
      <w:r w:rsidR="002554CE" w:rsidRPr="00316CD9">
        <w:rPr>
          <w:lang w:val="hr-HR"/>
        </w:rPr>
        <w:t>.</w:t>
      </w:r>
      <w:r w:rsidR="00D21991">
        <w:rPr>
          <w:lang w:val="hr-HR"/>
        </w:rPr>
        <w:t>83</w:t>
      </w:r>
      <w:r w:rsidR="002554CE" w:rsidRPr="00316CD9">
        <w:rPr>
          <w:lang w:val="hr-HR"/>
        </w:rPr>
        <w:t>0</w:t>
      </w:r>
      <w:r w:rsidR="00996282" w:rsidRPr="00316CD9">
        <w:rPr>
          <w:lang w:val="hr-HR"/>
        </w:rPr>
        <w:t xml:space="preserve"> KM</w:t>
      </w:r>
      <w:r w:rsidRPr="00316CD9">
        <w:rPr>
          <w:lang w:val="hr-HR"/>
        </w:rPr>
        <w:t xml:space="preserve"> i </w:t>
      </w:r>
      <w:r w:rsidR="00D21991">
        <w:rPr>
          <w:lang w:val="hr-HR"/>
        </w:rPr>
        <w:t>manje</w:t>
      </w:r>
      <w:r w:rsidRPr="00316CD9">
        <w:rPr>
          <w:lang w:val="hr-HR"/>
        </w:rPr>
        <w:t xml:space="preserve"> su za </w:t>
      </w:r>
      <w:r w:rsidR="00D43140">
        <w:rPr>
          <w:lang w:val="hr-HR"/>
        </w:rPr>
        <w:t>10,62</w:t>
      </w:r>
      <w:r w:rsidRPr="00316CD9">
        <w:rPr>
          <w:lang w:val="hr-HR"/>
        </w:rPr>
        <w:t>%</w:t>
      </w:r>
      <w:r w:rsidR="008D3B7B" w:rsidRPr="00316CD9">
        <w:rPr>
          <w:lang w:val="hr-HR"/>
        </w:rPr>
        <w:t>,</w:t>
      </w:r>
      <w:r w:rsidRPr="00316CD9">
        <w:rPr>
          <w:szCs w:val="21"/>
          <w:lang w:val="hr-HR"/>
        </w:rPr>
        <w:t xml:space="preserve"> odnosno u apsolutnom iznosu </w:t>
      </w:r>
      <w:r w:rsidR="00D43140">
        <w:rPr>
          <w:szCs w:val="21"/>
          <w:lang w:val="hr-HR"/>
        </w:rPr>
        <w:t>manje</w:t>
      </w:r>
      <w:r w:rsidR="00931AC1" w:rsidRPr="00316CD9">
        <w:rPr>
          <w:szCs w:val="21"/>
          <w:lang w:val="hr-HR"/>
        </w:rPr>
        <w:t xml:space="preserve"> </w:t>
      </w:r>
      <w:r w:rsidRPr="00316CD9">
        <w:rPr>
          <w:szCs w:val="21"/>
          <w:lang w:val="hr-HR"/>
        </w:rPr>
        <w:t xml:space="preserve">za </w:t>
      </w:r>
      <w:r w:rsidR="00D43140">
        <w:rPr>
          <w:szCs w:val="21"/>
          <w:lang w:val="hr-HR"/>
        </w:rPr>
        <w:t>668.520</w:t>
      </w:r>
      <w:r w:rsidRPr="00316CD9">
        <w:rPr>
          <w:szCs w:val="21"/>
          <w:lang w:val="hr-HR"/>
        </w:rPr>
        <w:t xml:space="preserve"> KM. U navedenom iznosu uključene su naknade troškova </w:t>
      </w:r>
      <w:r w:rsidR="00931AC1" w:rsidRPr="00316CD9">
        <w:rPr>
          <w:szCs w:val="21"/>
          <w:lang w:val="hr-HR"/>
        </w:rPr>
        <w:t xml:space="preserve">stalno </w:t>
      </w:r>
      <w:r w:rsidRPr="00316CD9">
        <w:rPr>
          <w:szCs w:val="21"/>
          <w:lang w:val="hr-HR"/>
        </w:rPr>
        <w:t xml:space="preserve">zaposlenih u iznosu od </w:t>
      </w:r>
      <w:r w:rsidR="00380ED7">
        <w:rPr>
          <w:szCs w:val="21"/>
          <w:lang w:val="hr-HR"/>
        </w:rPr>
        <w:t>5.600.960</w:t>
      </w:r>
      <w:r w:rsidRPr="00316CD9">
        <w:rPr>
          <w:szCs w:val="21"/>
          <w:lang w:val="hr-HR"/>
        </w:rPr>
        <w:t xml:space="preserve"> KM, te </w:t>
      </w:r>
      <w:r w:rsidRPr="00316CD9">
        <w:rPr>
          <w:szCs w:val="21"/>
          <w:lang w:val="hr-HR"/>
        </w:rPr>
        <w:lastRenderedPageBreak/>
        <w:t xml:space="preserve">naknade troškova volontera u iznosu od </w:t>
      </w:r>
      <w:r w:rsidR="00380ED7">
        <w:rPr>
          <w:szCs w:val="21"/>
          <w:lang w:val="hr-HR"/>
        </w:rPr>
        <w:t>27.870</w:t>
      </w:r>
      <w:r w:rsidRPr="00316CD9">
        <w:rPr>
          <w:szCs w:val="21"/>
          <w:lang w:val="hr-HR"/>
        </w:rPr>
        <w:t xml:space="preserve"> KM. </w:t>
      </w:r>
      <w:r w:rsidR="00F523D3" w:rsidRPr="00F523D3">
        <w:rPr>
          <w:szCs w:val="21"/>
          <w:lang w:val="hr-HR"/>
        </w:rPr>
        <w:t>O</w:t>
      </w:r>
      <w:r w:rsidR="00C02261" w:rsidRPr="00F523D3">
        <w:rPr>
          <w:szCs w:val="21"/>
          <w:lang w:val="hr-HR"/>
        </w:rPr>
        <w:t>d rujna 2022. godine mjesečna naknada volonterima, koji se nalaze na obavljanju volonterskog staža u tijelima državne službe u Županiji Posavskoj, iznosi 300,00 KM. Osim navedenog, v</w:t>
      </w:r>
      <w:r w:rsidR="00C02261" w:rsidRPr="00316CD9">
        <w:rPr>
          <w:szCs w:val="21"/>
          <w:lang w:val="hr-HR"/>
        </w:rPr>
        <w:t>olonteri ostvaruju pravo i na naknadu za ishranu u vrijeme rada te naknadu za prijevoz na posao i s posla.</w:t>
      </w:r>
    </w:p>
    <w:p w14:paraId="41D38D4A" w14:textId="47AEBEA6" w:rsidR="00CA1958" w:rsidRPr="00316CD9" w:rsidRDefault="00CA1958">
      <w:pPr>
        <w:ind w:firstLine="720"/>
        <w:jc w:val="both"/>
        <w:rPr>
          <w:lang w:val="hr-HR"/>
        </w:rPr>
      </w:pPr>
      <w:r w:rsidRPr="00316CD9">
        <w:rPr>
          <w:lang w:val="hr-HR"/>
        </w:rPr>
        <w:t xml:space="preserve">Doprinosi poslodavca i ostali doprinosi (glavna grupa 612100), analogno kretanju bruto plaća i naknada plaća, se planiraju u iznosu od </w:t>
      </w:r>
      <w:r w:rsidR="000F393F">
        <w:rPr>
          <w:lang w:val="hr-HR"/>
        </w:rPr>
        <w:t>3.558.940</w:t>
      </w:r>
      <w:r w:rsidRPr="00316CD9">
        <w:rPr>
          <w:lang w:val="hr-HR"/>
        </w:rPr>
        <w:t xml:space="preserve"> KM</w:t>
      </w:r>
      <w:r w:rsidR="00082F7E" w:rsidRPr="00316CD9">
        <w:rPr>
          <w:lang w:val="hr-HR"/>
        </w:rPr>
        <w:t>,</w:t>
      </w:r>
      <w:r w:rsidRPr="00316CD9">
        <w:rPr>
          <w:lang w:val="hr-HR"/>
        </w:rPr>
        <w:t xml:space="preserve"> što je za </w:t>
      </w:r>
      <w:r w:rsidR="000F393F">
        <w:rPr>
          <w:lang w:val="hr-HR"/>
        </w:rPr>
        <w:t>3,33</w:t>
      </w:r>
      <w:r w:rsidRPr="00316CD9">
        <w:rPr>
          <w:lang w:val="hr-HR"/>
        </w:rPr>
        <w:t xml:space="preserve">% više nego što je planirano u </w:t>
      </w:r>
      <w:r w:rsidR="000F393F">
        <w:rPr>
          <w:lang w:val="hr-HR"/>
        </w:rPr>
        <w:t>2024</w:t>
      </w:r>
      <w:r w:rsidRPr="00316CD9">
        <w:rPr>
          <w:lang w:val="hr-HR"/>
        </w:rPr>
        <w:t>. godini</w:t>
      </w:r>
      <w:r w:rsidR="00082F7E" w:rsidRPr="00316CD9">
        <w:rPr>
          <w:lang w:val="hr-HR"/>
        </w:rPr>
        <w:t>,</w:t>
      </w:r>
      <w:r w:rsidRPr="00316CD9">
        <w:rPr>
          <w:lang w:val="hr-HR"/>
        </w:rPr>
        <w:t xml:space="preserve"> ili u apsolutnom iznosu </w:t>
      </w:r>
      <w:r w:rsidR="000F393F">
        <w:rPr>
          <w:lang w:val="hr-HR"/>
        </w:rPr>
        <w:t>114</w:t>
      </w:r>
      <w:r w:rsidR="002554CE" w:rsidRPr="00316CD9">
        <w:rPr>
          <w:lang w:val="hr-HR"/>
        </w:rPr>
        <w:t>.</w:t>
      </w:r>
      <w:r w:rsidR="000F393F">
        <w:rPr>
          <w:lang w:val="hr-HR"/>
        </w:rPr>
        <w:t>72</w:t>
      </w:r>
      <w:r w:rsidR="002554CE" w:rsidRPr="00316CD9">
        <w:rPr>
          <w:lang w:val="hr-HR"/>
        </w:rPr>
        <w:t>0</w:t>
      </w:r>
      <w:r w:rsidR="00A12E5A" w:rsidRPr="00316CD9">
        <w:rPr>
          <w:lang w:val="hr-HR"/>
        </w:rPr>
        <w:t xml:space="preserve"> </w:t>
      </w:r>
      <w:r w:rsidRPr="00316CD9">
        <w:rPr>
          <w:lang w:val="hr-HR"/>
        </w:rPr>
        <w:t>KM više.</w:t>
      </w:r>
      <w:r w:rsidR="00A12E5A" w:rsidRPr="00316CD9">
        <w:rPr>
          <w:lang w:val="hr-HR"/>
        </w:rPr>
        <w:t xml:space="preserve"> </w:t>
      </w:r>
      <w:r w:rsidR="00FC7E59" w:rsidRPr="00316CD9">
        <w:rPr>
          <w:lang w:val="hr-HR"/>
        </w:rPr>
        <w:t>U</w:t>
      </w:r>
      <w:r w:rsidR="00BD5D8C" w:rsidRPr="00316CD9">
        <w:rPr>
          <w:lang w:val="hr-HR"/>
        </w:rPr>
        <w:t xml:space="preserve"> </w:t>
      </w:r>
      <w:r w:rsidR="000F393F">
        <w:rPr>
          <w:lang w:val="hr-HR"/>
        </w:rPr>
        <w:t>2025</w:t>
      </w:r>
      <w:r w:rsidR="00BD5D8C" w:rsidRPr="00316CD9">
        <w:rPr>
          <w:lang w:val="hr-HR"/>
        </w:rPr>
        <w:t xml:space="preserve">. godini planirano je </w:t>
      </w:r>
      <w:r w:rsidR="00DF431E" w:rsidRPr="00316CD9">
        <w:rPr>
          <w:lang w:val="hr-HR"/>
        </w:rPr>
        <w:t xml:space="preserve">izmirenje dijela dospjelih a neizmirenih obveza poslodavca uposlenika Ministarstva unutarnjih poslova Županije Posavske </w:t>
      </w:r>
      <w:r w:rsidR="002554CE" w:rsidRPr="00316CD9">
        <w:rPr>
          <w:lang w:val="hr-HR"/>
        </w:rPr>
        <w:t>iz ranijih razdoblja</w:t>
      </w:r>
      <w:r w:rsidR="00DF431E" w:rsidRPr="00316CD9">
        <w:rPr>
          <w:lang w:val="hr-HR"/>
        </w:rPr>
        <w:t xml:space="preserve"> koji su bili raspoređeni na poslove i radne zadatke na kojima se ima pravo na beneficirani radni staž u skladu s važećim propisima (</w:t>
      </w:r>
      <w:r w:rsidR="00C023AD" w:rsidRPr="00316CD9">
        <w:rPr>
          <w:lang w:val="hr-HR"/>
        </w:rPr>
        <w:t>10</w:t>
      </w:r>
      <w:r w:rsidR="00DF431E" w:rsidRPr="00316CD9">
        <w:rPr>
          <w:lang w:val="hr-HR"/>
        </w:rPr>
        <w:t>.000 KM)</w:t>
      </w:r>
      <w:r w:rsidR="00BD5D8C" w:rsidRPr="00316CD9">
        <w:rPr>
          <w:lang w:val="hr-HR"/>
        </w:rPr>
        <w:t>.</w:t>
      </w:r>
    </w:p>
    <w:p w14:paraId="6BE016C3" w14:textId="77777777" w:rsidR="00CA1958" w:rsidRPr="00316CD9" w:rsidRDefault="00CA1958">
      <w:pPr>
        <w:jc w:val="both"/>
        <w:rPr>
          <w:color w:val="FF0000"/>
          <w:lang w:val="hr-HR"/>
        </w:rPr>
      </w:pPr>
    </w:p>
    <w:p w14:paraId="0ED6309A" w14:textId="77777777" w:rsidR="00CA1958" w:rsidRPr="00316CD9" w:rsidRDefault="002961C3">
      <w:pPr>
        <w:pStyle w:val="Naslov7"/>
        <w:spacing w:line="240" w:lineRule="auto"/>
        <w:ind w:firstLine="720"/>
      </w:pPr>
      <w:r w:rsidRPr="00316CD9">
        <w:t>5.1.3.</w:t>
      </w:r>
      <w:r w:rsidRPr="00316CD9">
        <w:tab/>
      </w:r>
      <w:r w:rsidR="00CA1958" w:rsidRPr="00316CD9">
        <w:t>Izdaci za materijal, sitan inventar i usluge</w:t>
      </w:r>
    </w:p>
    <w:p w14:paraId="4A133DDD" w14:textId="5E762050" w:rsidR="00BD5D8C" w:rsidRDefault="00CA1958">
      <w:pPr>
        <w:pStyle w:val="Tijeloteksta"/>
        <w:ind w:firstLine="720"/>
      </w:pPr>
      <w:r w:rsidRPr="00316CD9">
        <w:t xml:space="preserve">Izdaci za materijal, sitan inventar i usluge (potkategorija 613000) planirani su u iznosu od </w:t>
      </w:r>
      <w:r w:rsidR="00BF7DA2">
        <w:t>7.264.300</w:t>
      </w:r>
      <w:r w:rsidRPr="00316CD9">
        <w:t xml:space="preserve"> KM, što je za </w:t>
      </w:r>
      <w:r w:rsidR="00BF7DA2">
        <w:t>3,39</w:t>
      </w:r>
      <w:r w:rsidRPr="00316CD9">
        <w:t xml:space="preserve">% </w:t>
      </w:r>
      <w:r w:rsidR="00082F7E" w:rsidRPr="00316CD9">
        <w:t>više</w:t>
      </w:r>
      <w:r w:rsidRPr="00316CD9">
        <w:t xml:space="preserve"> u odnosu na materijalne troškove predviđene planom Proračuna za </w:t>
      </w:r>
      <w:r w:rsidR="00BF7DA2">
        <w:t>2024</w:t>
      </w:r>
      <w:r w:rsidRPr="00316CD9">
        <w:t>. godinu</w:t>
      </w:r>
      <w:r w:rsidR="00082F7E" w:rsidRPr="00316CD9">
        <w:t>,</w:t>
      </w:r>
      <w:r w:rsidRPr="00316CD9">
        <w:t xml:space="preserve"> ili u apsolutnom iznosu </w:t>
      </w:r>
      <w:r w:rsidR="00082F7E" w:rsidRPr="00316CD9">
        <w:t>više</w:t>
      </w:r>
      <w:r w:rsidRPr="00316CD9">
        <w:t xml:space="preserve"> za </w:t>
      </w:r>
      <w:r w:rsidR="00475F23">
        <w:t>238.150</w:t>
      </w:r>
      <w:r w:rsidRPr="00316CD9">
        <w:t xml:space="preserve"> KM. U odnosu na </w:t>
      </w:r>
      <w:r w:rsidR="00475F23">
        <w:t>2024</w:t>
      </w:r>
      <w:r w:rsidRPr="00316CD9">
        <w:t xml:space="preserve">. godinu planira se </w:t>
      </w:r>
      <w:r w:rsidR="00082F7E" w:rsidRPr="00316CD9">
        <w:t xml:space="preserve">povećanje na </w:t>
      </w:r>
      <w:r w:rsidR="00030DF6">
        <w:t>gotovo svim</w:t>
      </w:r>
      <w:r w:rsidR="00082F7E" w:rsidRPr="00316CD9">
        <w:t xml:space="preserve"> pozicijama</w:t>
      </w:r>
      <w:r w:rsidR="002554CE" w:rsidRPr="00316CD9">
        <w:t xml:space="preserve"> materijalnih troškova</w:t>
      </w:r>
      <w:r w:rsidR="00030DF6">
        <w:t>, a u apsolutnom iznosu najveća povećanja planirana su</w:t>
      </w:r>
      <w:r w:rsidR="009201CF">
        <w:t xml:space="preserve"> na</w:t>
      </w:r>
      <w:r w:rsidR="002554CE" w:rsidRPr="00316CD9">
        <w:t xml:space="preserve">: </w:t>
      </w:r>
      <w:r w:rsidR="009201CF">
        <w:t>izdacima za nabavku materijala i sitnog inventara</w:t>
      </w:r>
      <w:r w:rsidR="00E03DE4">
        <w:t xml:space="preserve"> – obroci za djecu programa predškole i učenike (+159.030 KM)</w:t>
      </w:r>
      <w:r w:rsidR="00695289">
        <w:t xml:space="preserve"> i ugovoren</w:t>
      </w:r>
      <w:r w:rsidR="00173848">
        <w:t>e i druge posebne usluge-opće (+118.250 KM)</w:t>
      </w:r>
      <w:r w:rsidR="00C71D96">
        <w:t xml:space="preserve">. Povećanje troškova, uslijed još uvijek </w:t>
      </w:r>
      <w:r w:rsidR="008A5B40">
        <w:t xml:space="preserve">nekontroliranog rasta </w:t>
      </w:r>
      <w:r w:rsidR="004E7C5B">
        <w:t xml:space="preserve">tržišnih </w:t>
      </w:r>
      <w:r w:rsidR="008A5B40">
        <w:t>cijena, planira se i na izdacima za energiju proračunskih korisnika (</w:t>
      </w:r>
      <w:r w:rsidR="004E7C5B">
        <w:t>+47.650 KM</w:t>
      </w:r>
      <w:r w:rsidR="008774C9">
        <w:t>), izdacima za tekuće održavanje</w:t>
      </w:r>
      <w:r w:rsidR="00FE25B1">
        <w:t xml:space="preserve"> (+26.650 KM), </w:t>
      </w:r>
      <w:r w:rsidR="00E75002">
        <w:t xml:space="preserve">te </w:t>
      </w:r>
      <w:r w:rsidR="00FE25B1">
        <w:t>izdacima za komunikaciju i komunalne usluge</w:t>
      </w:r>
      <w:r w:rsidR="00E75002">
        <w:t xml:space="preserve"> i putnim troškovima.</w:t>
      </w:r>
    </w:p>
    <w:p w14:paraId="3C5009F7" w14:textId="43494689" w:rsidR="002554CE" w:rsidRPr="00316CD9" w:rsidRDefault="002554CE" w:rsidP="002554CE">
      <w:pPr>
        <w:pStyle w:val="Tijeloteksta"/>
        <w:ind w:firstLine="720"/>
      </w:pPr>
      <w:r w:rsidRPr="00316CD9">
        <w:t xml:space="preserve">U okviru materijalnih troškova Ministarstva prosvjete, znanosti, kulture i sporta Županije Posavske i škola u </w:t>
      </w:r>
      <w:r w:rsidR="00E75002">
        <w:t>2025</w:t>
      </w:r>
      <w:r w:rsidRPr="00316CD9">
        <w:t>. godine nastavit će se s implementacijom projekata nabavke obroka za učenike osnovnih škola i produženog boravka</w:t>
      </w:r>
      <w:r w:rsidR="009B5812" w:rsidRPr="00316CD9">
        <w:t xml:space="preserve">, čiji se izdaci planiraju u iznosu od </w:t>
      </w:r>
      <w:r w:rsidR="00A3585A">
        <w:t>883.520</w:t>
      </w:r>
      <w:r w:rsidR="009B5812" w:rsidRPr="00316CD9">
        <w:t xml:space="preserve"> KM, te financiranje obuka i seminara prosvjetnih djelatnika u planiranom iznosu od </w:t>
      </w:r>
      <w:r w:rsidR="00A3585A">
        <w:t>50.000</w:t>
      </w:r>
      <w:r w:rsidR="009B5812" w:rsidRPr="00316CD9">
        <w:t xml:space="preserve"> KM.</w:t>
      </w:r>
    </w:p>
    <w:p w14:paraId="659B147B" w14:textId="02E61CE8" w:rsidR="002554CE" w:rsidRPr="00316CD9" w:rsidRDefault="002554CE" w:rsidP="002554CE">
      <w:pPr>
        <w:pStyle w:val="Tijeloteksta"/>
        <w:ind w:firstLine="720"/>
      </w:pPr>
      <w:r w:rsidRPr="00316CD9">
        <w:t xml:space="preserve">Od ukupno planiranih izdataka za materijal, sitan inventar i usluge </w:t>
      </w:r>
      <w:r w:rsidR="006C4CEC">
        <w:t>90,09</w:t>
      </w:r>
      <w:r w:rsidRPr="00316CD9">
        <w:t>% će se financirati iz proračunskih prihoda (</w:t>
      </w:r>
      <w:r w:rsidR="00A3585A">
        <w:t>6.544.300</w:t>
      </w:r>
      <w:r w:rsidRPr="00316CD9">
        <w:t xml:space="preserve"> KM), dok će se </w:t>
      </w:r>
      <w:r w:rsidR="00701530">
        <w:t>9,91%</w:t>
      </w:r>
      <w:r w:rsidRPr="00316CD9">
        <w:t xml:space="preserve"> ili </w:t>
      </w:r>
      <w:r w:rsidR="006C4CEC">
        <w:t>720.000</w:t>
      </w:r>
      <w:r w:rsidRPr="00316CD9">
        <w:t xml:space="preserve"> KM financirati iz ostalih izvora (namjenski prihodi).</w:t>
      </w:r>
    </w:p>
    <w:p w14:paraId="2580A226" w14:textId="77777777" w:rsidR="00CA1958" w:rsidRPr="00316CD9" w:rsidRDefault="002316A0">
      <w:pPr>
        <w:pStyle w:val="Tijeloteksta"/>
        <w:ind w:firstLine="720"/>
      </w:pPr>
      <w:r w:rsidRPr="00316CD9">
        <w:t xml:space="preserve"> </w:t>
      </w:r>
      <w:r w:rsidR="00B049AD" w:rsidRPr="00316CD9">
        <w:t xml:space="preserve"> </w:t>
      </w:r>
      <w:r w:rsidR="00CA1958" w:rsidRPr="00316CD9">
        <w:t xml:space="preserve">  </w:t>
      </w:r>
    </w:p>
    <w:p w14:paraId="52D95B9A" w14:textId="77777777" w:rsidR="00CA1958" w:rsidRPr="00316CD9" w:rsidRDefault="002961C3">
      <w:pPr>
        <w:pStyle w:val="Naslov7"/>
        <w:spacing w:line="240" w:lineRule="auto"/>
        <w:ind w:firstLine="720"/>
      </w:pPr>
      <w:r w:rsidRPr="00316CD9">
        <w:t>5.1.4.</w:t>
      </w:r>
      <w:r w:rsidRPr="00316CD9">
        <w:tab/>
      </w:r>
      <w:r w:rsidR="00CA1958" w:rsidRPr="00316CD9">
        <w:t>Tekući grantovi i drugi tekući rashodi</w:t>
      </w:r>
    </w:p>
    <w:p w14:paraId="779C0DF1" w14:textId="3393ABB2" w:rsidR="00CA1958" w:rsidRPr="00316CD9" w:rsidRDefault="00CA1958">
      <w:pPr>
        <w:pStyle w:val="Tijeloteksta"/>
        <w:ind w:firstLine="720"/>
      </w:pPr>
      <w:r w:rsidRPr="00316CD9">
        <w:t xml:space="preserve">Tekući grantovi i drugi tekući rashodi (potkategorija 614000) planirani su u iznosu od </w:t>
      </w:r>
      <w:r w:rsidR="00C21DC3">
        <w:t>16.662.470</w:t>
      </w:r>
      <w:r w:rsidRPr="00316CD9">
        <w:t xml:space="preserve"> KM</w:t>
      </w:r>
      <w:r w:rsidR="004472E2" w:rsidRPr="00316CD9">
        <w:t>,</w:t>
      </w:r>
      <w:r w:rsidRPr="00316CD9">
        <w:t xml:space="preserve"> i za </w:t>
      </w:r>
      <w:r w:rsidR="00C21DC3">
        <w:t>0,19</w:t>
      </w:r>
      <w:r w:rsidRPr="00316CD9">
        <w:t xml:space="preserve">% su </w:t>
      </w:r>
      <w:r w:rsidR="00C21DC3">
        <w:t>manji</w:t>
      </w:r>
      <w:r w:rsidRPr="00316CD9">
        <w:t xml:space="preserve"> u odnosu na plan Proračuna za </w:t>
      </w:r>
      <w:r w:rsidR="00C21DC3">
        <w:t>2024</w:t>
      </w:r>
      <w:r w:rsidRPr="00316CD9">
        <w:t xml:space="preserve">. godinu, odnosno u apsolutnom iznosu </w:t>
      </w:r>
      <w:r w:rsidR="00C21DC3">
        <w:t>manji</w:t>
      </w:r>
      <w:r w:rsidRPr="00316CD9">
        <w:t xml:space="preserve"> za </w:t>
      </w:r>
      <w:r w:rsidR="003E3B8B">
        <w:t>31.030</w:t>
      </w:r>
      <w:r w:rsidRPr="00316CD9">
        <w:t xml:space="preserve"> KM.</w:t>
      </w:r>
    </w:p>
    <w:p w14:paraId="38CFBF14" w14:textId="27F28E5E" w:rsidR="00396B16" w:rsidRPr="00316CD9" w:rsidRDefault="00396B16" w:rsidP="00146059">
      <w:pPr>
        <w:pStyle w:val="Tijeloteksta"/>
        <w:ind w:firstLine="720"/>
      </w:pPr>
      <w:r w:rsidRPr="00316CD9">
        <w:t xml:space="preserve">U Proračunu Županije Posavske za </w:t>
      </w:r>
      <w:r w:rsidR="003E3B8B">
        <w:t>2025</w:t>
      </w:r>
      <w:r w:rsidRPr="00316CD9">
        <w:t xml:space="preserve">. godinu u odnosu na isti za </w:t>
      </w:r>
      <w:r w:rsidR="003E3B8B">
        <w:t>2024</w:t>
      </w:r>
      <w:r w:rsidRPr="00316CD9">
        <w:t xml:space="preserve">. godinu </w:t>
      </w:r>
      <w:r w:rsidR="009B5812" w:rsidRPr="00316CD9">
        <w:t xml:space="preserve">uvodi se nova grantovska pozicija u razdjelu </w:t>
      </w:r>
      <w:r w:rsidR="003E3B8B">
        <w:t>21</w:t>
      </w:r>
      <w:r w:rsidR="009B0B20">
        <w:t xml:space="preserve"> </w:t>
      </w:r>
      <w:r w:rsidR="003E3B8B">
        <w:t>Ministarstvo branitelja Županije Posavske</w:t>
      </w:r>
      <w:r w:rsidR="009B5812" w:rsidRPr="00316CD9">
        <w:t xml:space="preserve">, ekonomski kod </w:t>
      </w:r>
      <w:r w:rsidR="003E3B8B">
        <w:t>614300</w:t>
      </w:r>
      <w:r w:rsidR="009B5812" w:rsidRPr="00316CD9">
        <w:t>, pozicija „</w:t>
      </w:r>
      <w:r w:rsidR="00146059">
        <w:t>Grant za obilježavanje značajnih datuma i drugih aktivnosti vezano za Domovinski rat</w:t>
      </w:r>
      <w:r w:rsidR="009B5812" w:rsidRPr="00316CD9">
        <w:t xml:space="preserve">“ u iznosu od ukupno </w:t>
      </w:r>
      <w:r w:rsidR="00146059">
        <w:t>200</w:t>
      </w:r>
      <w:r w:rsidR="009B5812" w:rsidRPr="00316CD9">
        <w:t>.000 KM.</w:t>
      </w:r>
    </w:p>
    <w:p w14:paraId="380FC29D" w14:textId="09831F3B" w:rsidR="00A305F9" w:rsidRPr="00316CD9" w:rsidRDefault="00A305F9" w:rsidP="00A305F9">
      <w:pPr>
        <w:pStyle w:val="Tijeloteksta"/>
        <w:ind w:firstLine="714"/>
      </w:pPr>
      <w:r w:rsidRPr="00316CD9">
        <w:t xml:space="preserve">U okviru skupine tekućih grantova, u odnosu na </w:t>
      </w:r>
      <w:r w:rsidR="007374E1">
        <w:t>2024</w:t>
      </w:r>
      <w:r w:rsidRPr="00316CD9">
        <w:t>. godinu, povećavaju se</w:t>
      </w:r>
      <w:r w:rsidR="000630AE" w:rsidRPr="00316CD9">
        <w:t xml:space="preserve"> uslijed proširenja opsega davanja i/ili povećanih potreba slijedeće pozicije</w:t>
      </w:r>
      <w:r w:rsidRPr="00316CD9">
        <w:t>:</w:t>
      </w:r>
    </w:p>
    <w:tbl>
      <w:tblPr>
        <w:tblStyle w:val="Reetkatablice"/>
        <w:tblW w:w="9811" w:type="dxa"/>
        <w:tblInd w:w="-318" w:type="dxa"/>
        <w:tblLook w:val="04A0" w:firstRow="1" w:lastRow="0" w:firstColumn="1" w:lastColumn="0" w:noHBand="0" w:noVBand="1"/>
      </w:tblPr>
      <w:tblGrid>
        <w:gridCol w:w="3104"/>
        <w:gridCol w:w="5431"/>
        <w:gridCol w:w="1276"/>
      </w:tblGrid>
      <w:tr w:rsidR="00630DCE" w:rsidRPr="00316CD9" w14:paraId="2CCD8188" w14:textId="77777777" w:rsidTr="00630DCE">
        <w:tc>
          <w:tcPr>
            <w:tcW w:w="3104" w:type="dxa"/>
            <w:vAlign w:val="center"/>
          </w:tcPr>
          <w:p w14:paraId="4FA9E331" w14:textId="77777777" w:rsidR="00630DCE" w:rsidRPr="00316CD9" w:rsidRDefault="00630DCE" w:rsidP="00700EBB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316CD9">
              <w:rPr>
                <w:b/>
                <w:sz w:val="18"/>
                <w:szCs w:val="18"/>
              </w:rPr>
              <w:t>Proračunski korisnik</w:t>
            </w:r>
          </w:p>
        </w:tc>
        <w:tc>
          <w:tcPr>
            <w:tcW w:w="5431" w:type="dxa"/>
            <w:vAlign w:val="center"/>
          </w:tcPr>
          <w:p w14:paraId="437DA6B1" w14:textId="77777777" w:rsidR="00630DCE" w:rsidRPr="00316CD9" w:rsidRDefault="00630DCE" w:rsidP="00700EBB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316CD9">
              <w:rPr>
                <w:b/>
                <w:sz w:val="18"/>
                <w:szCs w:val="18"/>
              </w:rPr>
              <w:t>Pozicija</w:t>
            </w:r>
          </w:p>
        </w:tc>
        <w:tc>
          <w:tcPr>
            <w:tcW w:w="1276" w:type="dxa"/>
            <w:vAlign w:val="center"/>
          </w:tcPr>
          <w:p w14:paraId="4670B09D" w14:textId="77777777" w:rsidR="00630DCE" w:rsidRPr="00316CD9" w:rsidRDefault="00630DCE" w:rsidP="00700EBB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316CD9">
              <w:rPr>
                <w:b/>
                <w:sz w:val="18"/>
                <w:szCs w:val="18"/>
              </w:rPr>
              <w:t>Povećanje u KM</w:t>
            </w:r>
          </w:p>
        </w:tc>
      </w:tr>
      <w:tr w:rsidR="00630DCE" w:rsidRPr="00316CD9" w14:paraId="2A654E25" w14:textId="77777777" w:rsidTr="00630DCE">
        <w:tc>
          <w:tcPr>
            <w:tcW w:w="3104" w:type="dxa"/>
          </w:tcPr>
          <w:p w14:paraId="7358557F" w14:textId="6010ECF7" w:rsidR="00630DCE" w:rsidRPr="00316CD9" w:rsidRDefault="00630DCE" w:rsidP="00293D8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Vlada Županije Posavske</w:t>
            </w:r>
          </w:p>
        </w:tc>
        <w:tc>
          <w:tcPr>
            <w:tcW w:w="5431" w:type="dxa"/>
          </w:tcPr>
          <w:p w14:paraId="1ED4D26A" w14:textId="0E75F85D" w:rsidR="00630DCE" w:rsidRPr="00316CD9" w:rsidRDefault="00630DCE" w:rsidP="00293D8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614100 – Grant za Sveučilište u Mostaru</w:t>
            </w:r>
          </w:p>
        </w:tc>
        <w:tc>
          <w:tcPr>
            <w:tcW w:w="1276" w:type="dxa"/>
          </w:tcPr>
          <w:p w14:paraId="6598E7ED" w14:textId="491BE989" w:rsidR="00630DCE" w:rsidRPr="00316CD9" w:rsidRDefault="00630DCE" w:rsidP="00293D8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150.000</w:t>
            </w:r>
          </w:p>
        </w:tc>
      </w:tr>
      <w:tr w:rsidR="0005591C" w:rsidRPr="00316CD9" w14:paraId="08A98C40" w14:textId="77777777" w:rsidTr="00630DCE">
        <w:tc>
          <w:tcPr>
            <w:tcW w:w="3104" w:type="dxa"/>
          </w:tcPr>
          <w:p w14:paraId="12DCD2E8" w14:textId="1D988A33" w:rsidR="0005591C" w:rsidRDefault="0005591C" w:rsidP="00293D85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Minist.gospodarstva, rada i prost.uređ.</w:t>
            </w:r>
          </w:p>
        </w:tc>
        <w:tc>
          <w:tcPr>
            <w:tcW w:w="5431" w:type="dxa"/>
          </w:tcPr>
          <w:p w14:paraId="3C93C893" w14:textId="42FA32E8" w:rsidR="0005591C" w:rsidRPr="00316CD9" w:rsidRDefault="00206A6C" w:rsidP="00293D8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614100 – Grant za razvoj turizma</w:t>
            </w:r>
          </w:p>
        </w:tc>
        <w:tc>
          <w:tcPr>
            <w:tcW w:w="1276" w:type="dxa"/>
          </w:tcPr>
          <w:p w14:paraId="0C829562" w14:textId="2B59499F" w:rsidR="0005591C" w:rsidRDefault="00206A6C" w:rsidP="00293D8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</w:t>
            </w:r>
          </w:p>
        </w:tc>
      </w:tr>
      <w:tr w:rsidR="00630DCE" w:rsidRPr="00316CD9" w14:paraId="42CA4FE8" w14:textId="77777777" w:rsidTr="00630DCE">
        <w:tc>
          <w:tcPr>
            <w:tcW w:w="3104" w:type="dxa"/>
          </w:tcPr>
          <w:p w14:paraId="186F7EC7" w14:textId="685AE30F" w:rsidR="00630DCE" w:rsidRPr="00316CD9" w:rsidRDefault="00630DCE" w:rsidP="00293D85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Minist.prometa, veza i zašt. okoliša</w:t>
            </w:r>
          </w:p>
        </w:tc>
        <w:tc>
          <w:tcPr>
            <w:tcW w:w="5431" w:type="dxa"/>
          </w:tcPr>
          <w:p w14:paraId="085F5823" w14:textId="176EDDBA" w:rsidR="00630DCE" w:rsidRPr="00316CD9" w:rsidRDefault="00630DCE" w:rsidP="00293D85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 xml:space="preserve">614100 – Grant </w:t>
            </w:r>
            <w:r>
              <w:rPr>
                <w:sz w:val="18"/>
                <w:szCs w:val="18"/>
              </w:rPr>
              <w:t>za zaštitu okoliša</w:t>
            </w:r>
          </w:p>
        </w:tc>
        <w:tc>
          <w:tcPr>
            <w:tcW w:w="1276" w:type="dxa"/>
          </w:tcPr>
          <w:p w14:paraId="4CC4E0E6" w14:textId="671FC5ED" w:rsidR="00630DCE" w:rsidRPr="00316CD9" w:rsidRDefault="00630DCE" w:rsidP="00293D8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137.470</w:t>
            </w:r>
          </w:p>
        </w:tc>
      </w:tr>
      <w:tr w:rsidR="00630DCE" w:rsidRPr="00316CD9" w14:paraId="77328B8E" w14:textId="77777777" w:rsidTr="00630DCE">
        <w:tc>
          <w:tcPr>
            <w:tcW w:w="3104" w:type="dxa"/>
          </w:tcPr>
          <w:p w14:paraId="62EF1925" w14:textId="14BDAEBF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</w:t>
            </w:r>
            <w:r>
              <w:rPr>
                <w:sz w:val="18"/>
                <w:szCs w:val="18"/>
              </w:rPr>
              <w:t>prosvjete, znan.,kulture i sporta</w:t>
            </w:r>
          </w:p>
        </w:tc>
        <w:tc>
          <w:tcPr>
            <w:tcW w:w="5431" w:type="dxa"/>
          </w:tcPr>
          <w:p w14:paraId="09A47903" w14:textId="3D032279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 xml:space="preserve">614100 – Grant za </w:t>
            </w:r>
            <w:r>
              <w:rPr>
                <w:sz w:val="18"/>
                <w:szCs w:val="18"/>
              </w:rPr>
              <w:t>sufinanciranje prijevoza učenika</w:t>
            </w:r>
          </w:p>
        </w:tc>
        <w:tc>
          <w:tcPr>
            <w:tcW w:w="1276" w:type="dxa"/>
          </w:tcPr>
          <w:p w14:paraId="05C31008" w14:textId="6B7605A1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2.000</w:t>
            </w:r>
          </w:p>
        </w:tc>
      </w:tr>
      <w:tr w:rsidR="00630DCE" w:rsidRPr="00316CD9" w14:paraId="3A931305" w14:textId="77777777" w:rsidTr="00630DCE">
        <w:tc>
          <w:tcPr>
            <w:tcW w:w="3104" w:type="dxa"/>
          </w:tcPr>
          <w:p w14:paraId="39C4994F" w14:textId="77777777" w:rsidR="00630DCE" w:rsidRPr="00316CD9" w:rsidRDefault="00630DCE" w:rsidP="00426311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Ured za obnovu, stambeno zbrinjavanje i raseljene osobe Vlade ŽP</w:t>
            </w:r>
          </w:p>
        </w:tc>
        <w:tc>
          <w:tcPr>
            <w:tcW w:w="5431" w:type="dxa"/>
          </w:tcPr>
          <w:p w14:paraId="46035AA1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 xml:space="preserve">614200 – Grant za pomoć pri stamb.zbrinjavanju mladih osoba i </w:t>
            </w:r>
          </w:p>
          <w:p w14:paraId="463A3E0C" w14:textId="0B7D53E9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 xml:space="preserve">                socijalnih kategorija</w:t>
            </w:r>
          </w:p>
        </w:tc>
        <w:tc>
          <w:tcPr>
            <w:tcW w:w="1276" w:type="dxa"/>
          </w:tcPr>
          <w:p w14:paraId="436B1DBD" w14:textId="55E183A1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</w:t>
            </w:r>
          </w:p>
        </w:tc>
      </w:tr>
      <w:tr w:rsidR="00630DCE" w:rsidRPr="00316CD9" w14:paraId="220D2C6F" w14:textId="77777777" w:rsidTr="00630DCE">
        <w:tc>
          <w:tcPr>
            <w:tcW w:w="3104" w:type="dxa"/>
          </w:tcPr>
          <w:p w14:paraId="374D7977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bookmarkStart w:id="0" w:name="_Hlk152937766"/>
            <w:r w:rsidRPr="00316CD9">
              <w:rPr>
                <w:sz w:val="18"/>
                <w:szCs w:val="18"/>
              </w:rPr>
              <w:t>Minist.zdravstva i socijalne politike</w:t>
            </w:r>
          </w:p>
        </w:tc>
        <w:tc>
          <w:tcPr>
            <w:tcW w:w="5431" w:type="dxa"/>
          </w:tcPr>
          <w:p w14:paraId="32398B1F" w14:textId="3E837B12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614200 – Grant za zdravstvene potrebe</w:t>
            </w:r>
          </w:p>
        </w:tc>
        <w:tc>
          <w:tcPr>
            <w:tcW w:w="1276" w:type="dxa"/>
          </w:tcPr>
          <w:p w14:paraId="649AE346" w14:textId="02CDADE8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55.000</w:t>
            </w:r>
          </w:p>
        </w:tc>
      </w:tr>
      <w:bookmarkEnd w:id="0"/>
      <w:tr w:rsidR="00630DCE" w:rsidRPr="00316CD9" w14:paraId="05035A35" w14:textId="77777777" w:rsidTr="00630DCE">
        <w:tc>
          <w:tcPr>
            <w:tcW w:w="3104" w:type="dxa"/>
          </w:tcPr>
          <w:p w14:paraId="5E3ECF53" w14:textId="77777777" w:rsidR="00630DCE" w:rsidRPr="00316CD9" w:rsidRDefault="00630DCE" w:rsidP="00293D85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Minist.zdravstva i socijalne politike</w:t>
            </w:r>
          </w:p>
        </w:tc>
        <w:tc>
          <w:tcPr>
            <w:tcW w:w="5431" w:type="dxa"/>
          </w:tcPr>
          <w:p w14:paraId="2AA493C5" w14:textId="06FE6E3E" w:rsidR="00630DCE" w:rsidRPr="00316CD9" w:rsidRDefault="00630DCE" w:rsidP="00293D85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614200 – Grant za socijalne potrebe</w:t>
            </w:r>
          </w:p>
        </w:tc>
        <w:tc>
          <w:tcPr>
            <w:tcW w:w="1276" w:type="dxa"/>
          </w:tcPr>
          <w:p w14:paraId="06C5C6A2" w14:textId="02481080" w:rsidR="00630DCE" w:rsidRPr="00316CD9" w:rsidRDefault="00630DCE" w:rsidP="00293D85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550.000</w:t>
            </w:r>
          </w:p>
        </w:tc>
      </w:tr>
      <w:tr w:rsidR="00630DCE" w:rsidRPr="00316CD9" w14:paraId="1C6BA2F6" w14:textId="77777777" w:rsidTr="00630DCE">
        <w:tc>
          <w:tcPr>
            <w:tcW w:w="3104" w:type="dxa"/>
          </w:tcPr>
          <w:p w14:paraId="6E6E5984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Minist.prosvjete, znan.,kulture i sporta</w:t>
            </w:r>
          </w:p>
        </w:tc>
        <w:tc>
          <w:tcPr>
            <w:tcW w:w="5431" w:type="dxa"/>
          </w:tcPr>
          <w:p w14:paraId="1A6D09D4" w14:textId="21EC3EDF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 xml:space="preserve">614200 – </w:t>
            </w:r>
            <w:r>
              <w:rPr>
                <w:sz w:val="18"/>
                <w:szCs w:val="18"/>
              </w:rPr>
              <w:t>Grant za predškolsko, osnovno i srednje obrazovanje</w:t>
            </w:r>
          </w:p>
        </w:tc>
        <w:tc>
          <w:tcPr>
            <w:tcW w:w="1276" w:type="dxa"/>
          </w:tcPr>
          <w:p w14:paraId="641EBAA4" w14:textId="3CCFB960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16.000</w:t>
            </w:r>
          </w:p>
        </w:tc>
      </w:tr>
      <w:tr w:rsidR="00630DCE" w:rsidRPr="00316CD9" w14:paraId="25D2F9E1" w14:textId="77777777" w:rsidTr="00630DCE">
        <w:tc>
          <w:tcPr>
            <w:tcW w:w="3104" w:type="dxa"/>
          </w:tcPr>
          <w:p w14:paraId="655A83D9" w14:textId="3C42FFE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Županijska uprava civilne zaštite</w:t>
            </w:r>
          </w:p>
        </w:tc>
        <w:tc>
          <w:tcPr>
            <w:tcW w:w="5431" w:type="dxa"/>
          </w:tcPr>
          <w:p w14:paraId="5C8113F1" w14:textId="26924B56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614200 – Grant za zaštitu od prirodnih i drugih nesreća</w:t>
            </w:r>
          </w:p>
        </w:tc>
        <w:tc>
          <w:tcPr>
            <w:tcW w:w="1276" w:type="dxa"/>
          </w:tcPr>
          <w:p w14:paraId="5EE6E4E8" w14:textId="42ED196A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10.000</w:t>
            </w:r>
          </w:p>
        </w:tc>
      </w:tr>
      <w:tr w:rsidR="00630DCE" w:rsidRPr="00316CD9" w14:paraId="73E6132E" w14:textId="77777777" w:rsidTr="00630DCE">
        <w:tc>
          <w:tcPr>
            <w:tcW w:w="3104" w:type="dxa"/>
          </w:tcPr>
          <w:p w14:paraId="36EE2D67" w14:textId="6E9DA701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Vlada Županije Posavske</w:t>
            </w:r>
          </w:p>
        </w:tc>
        <w:tc>
          <w:tcPr>
            <w:tcW w:w="5431" w:type="dxa"/>
          </w:tcPr>
          <w:p w14:paraId="6A508F26" w14:textId="663CB6AF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614300 – Grant za Muzej Franj.samostana Tolisa Vrata Bosne</w:t>
            </w:r>
          </w:p>
        </w:tc>
        <w:tc>
          <w:tcPr>
            <w:tcW w:w="1276" w:type="dxa"/>
          </w:tcPr>
          <w:p w14:paraId="2F9090A1" w14:textId="4262E068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50.000</w:t>
            </w:r>
          </w:p>
        </w:tc>
      </w:tr>
      <w:tr w:rsidR="00630DCE" w:rsidRPr="00316CD9" w14:paraId="0F754F26" w14:textId="77777777" w:rsidTr="00630DCE">
        <w:tc>
          <w:tcPr>
            <w:tcW w:w="3104" w:type="dxa"/>
          </w:tcPr>
          <w:p w14:paraId="570E265F" w14:textId="4AEFDD08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Vlada Županije Posavske</w:t>
            </w:r>
          </w:p>
        </w:tc>
        <w:tc>
          <w:tcPr>
            <w:tcW w:w="5431" w:type="dxa"/>
          </w:tcPr>
          <w:p w14:paraId="54E2E972" w14:textId="747597DD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614300 – Grant za Crveni križ Županije Posavske</w:t>
            </w:r>
          </w:p>
        </w:tc>
        <w:tc>
          <w:tcPr>
            <w:tcW w:w="1276" w:type="dxa"/>
          </w:tcPr>
          <w:p w14:paraId="20229993" w14:textId="277B93BA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5.000</w:t>
            </w:r>
          </w:p>
        </w:tc>
      </w:tr>
      <w:tr w:rsidR="00630DCE" w:rsidRPr="00316CD9" w14:paraId="448D81A5" w14:textId="77777777" w:rsidTr="00630DCE">
        <w:tc>
          <w:tcPr>
            <w:tcW w:w="3104" w:type="dxa"/>
          </w:tcPr>
          <w:p w14:paraId="0DDA2733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Minist.zdravstva i socijalne politike</w:t>
            </w:r>
          </w:p>
        </w:tc>
        <w:tc>
          <w:tcPr>
            <w:tcW w:w="5431" w:type="dxa"/>
          </w:tcPr>
          <w:p w14:paraId="051E8E79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614300 – Grant za udruge roditelja djece s posebnim potrebama</w:t>
            </w:r>
          </w:p>
        </w:tc>
        <w:tc>
          <w:tcPr>
            <w:tcW w:w="1276" w:type="dxa"/>
          </w:tcPr>
          <w:p w14:paraId="004C5B41" w14:textId="00A821B7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10.000</w:t>
            </w:r>
          </w:p>
        </w:tc>
      </w:tr>
      <w:tr w:rsidR="00630DCE" w:rsidRPr="00316CD9" w14:paraId="775CA990" w14:textId="77777777" w:rsidTr="00630DCE">
        <w:tc>
          <w:tcPr>
            <w:tcW w:w="3104" w:type="dxa"/>
          </w:tcPr>
          <w:p w14:paraId="561E2DD0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bookmarkStart w:id="1" w:name="_Hlk184976121"/>
            <w:r w:rsidRPr="00316CD9">
              <w:rPr>
                <w:sz w:val="18"/>
                <w:szCs w:val="18"/>
              </w:rPr>
              <w:t>Minist.prosvjete, znan.,kulture i sporta</w:t>
            </w:r>
          </w:p>
        </w:tc>
        <w:tc>
          <w:tcPr>
            <w:tcW w:w="5431" w:type="dxa"/>
          </w:tcPr>
          <w:p w14:paraId="5ED057BB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614300 – Grant za sport</w:t>
            </w:r>
          </w:p>
        </w:tc>
        <w:tc>
          <w:tcPr>
            <w:tcW w:w="1276" w:type="dxa"/>
          </w:tcPr>
          <w:p w14:paraId="79C29299" w14:textId="73C24F8B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30.000</w:t>
            </w:r>
          </w:p>
        </w:tc>
      </w:tr>
      <w:tr w:rsidR="00630DCE" w:rsidRPr="00316CD9" w14:paraId="1C44E71B" w14:textId="77777777" w:rsidTr="00630DCE">
        <w:tc>
          <w:tcPr>
            <w:tcW w:w="3104" w:type="dxa"/>
          </w:tcPr>
          <w:p w14:paraId="7F92A964" w14:textId="77777777" w:rsidR="00630DCE" w:rsidRPr="00316CD9" w:rsidRDefault="00630DCE" w:rsidP="0031301C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lastRenderedPageBreak/>
              <w:t>Minist.prosvjete, znan.,kulture i sporta</w:t>
            </w:r>
          </w:p>
        </w:tc>
        <w:tc>
          <w:tcPr>
            <w:tcW w:w="5431" w:type="dxa"/>
          </w:tcPr>
          <w:p w14:paraId="38796B1F" w14:textId="3BA6EED9" w:rsidR="00630DCE" w:rsidRPr="00316CD9" w:rsidRDefault="00630DCE" w:rsidP="0031301C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 xml:space="preserve">614300 – Grant za </w:t>
            </w:r>
            <w:r>
              <w:rPr>
                <w:sz w:val="18"/>
                <w:szCs w:val="18"/>
              </w:rPr>
              <w:t>kulturu</w:t>
            </w:r>
          </w:p>
        </w:tc>
        <w:tc>
          <w:tcPr>
            <w:tcW w:w="1276" w:type="dxa"/>
          </w:tcPr>
          <w:p w14:paraId="250F5F9A" w14:textId="4D35A500" w:rsidR="00630DCE" w:rsidRPr="00316CD9" w:rsidRDefault="00630DCE" w:rsidP="0031301C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20.000</w:t>
            </w:r>
          </w:p>
        </w:tc>
      </w:tr>
      <w:tr w:rsidR="00630DCE" w:rsidRPr="00316CD9" w14:paraId="1C61240C" w14:textId="77777777" w:rsidTr="00630DCE">
        <w:tc>
          <w:tcPr>
            <w:tcW w:w="3104" w:type="dxa"/>
          </w:tcPr>
          <w:p w14:paraId="4CC924F8" w14:textId="0B8A76BD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Ministarstvo branitelja</w:t>
            </w:r>
          </w:p>
        </w:tc>
        <w:tc>
          <w:tcPr>
            <w:tcW w:w="5431" w:type="dxa"/>
          </w:tcPr>
          <w:p w14:paraId="5E2CBCEA" w14:textId="73646CC9" w:rsidR="00630DCE" w:rsidRDefault="00630DCE" w:rsidP="00AD663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614300 </w:t>
            </w:r>
            <w:r w:rsidR="00F523D3" w:rsidRPr="00316CD9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Pr="00AD663B">
              <w:rPr>
                <w:sz w:val="18"/>
                <w:szCs w:val="18"/>
              </w:rPr>
              <w:t xml:space="preserve">Grant za obilježavanje značajnih datuma i drugih </w:t>
            </w:r>
          </w:p>
          <w:p w14:paraId="5B9C2CE9" w14:textId="01337CA7" w:rsidR="00630DCE" w:rsidRPr="00316CD9" w:rsidRDefault="00630DCE" w:rsidP="00AD663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AD663B">
              <w:rPr>
                <w:sz w:val="18"/>
                <w:szCs w:val="18"/>
              </w:rPr>
              <w:t>aktivnosti vezano za Domovinski rat</w:t>
            </w:r>
          </w:p>
        </w:tc>
        <w:tc>
          <w:tcPr>
            <w:tcW w:w="1276" w:type="dxa"/>
          </w:tcPr>
          <w:p w14:paraId="1173D94A" w14:textId="4CBB6136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200.000</w:t>
            </w:r>
          </w:p>
        </w:tc>
      </w:tr>
      <w:bookmarkEnd w:id="1"/>
      <w:tr w:rsidR="00630DCE" w:rsidRPr="00316CD9" w14:paraId="37D8C79A" w14:textId="77777777" w:rsidTr="00630DCE">
        <w:tc>
          <w:tcPr>
            <w:tcW w:w="3104" w:type="dxa"/>
          </w:tcPr>
          <w:p w14:paraId="38E1F1F3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Minist.gospodarstva, rada i prost.uređ.</w:t>
            </w:r>
          </w:p>
        </w:tc>
        <w:tc>
          <w:tcPr>
            <w:tcW w:w="5431" w:type="dxa"/>
          </w:tcPr>
          <w:p w14:paraId="4F0BBBD6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614500 – Grant za razvoj poduzetništva, obrta i zadruga</w:t>
            </w:r>
          </w:p>
        </w:tc>
        <w:tc>
          <w:tcPr>
            <w:tcW w:w="1276" w:type="dxa"/>
          </w:tcPr>
          <w:p w14:paraId="1031E24D" w14:textId="7E7BAD40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190.000</w:t>
            </w:r>
          </w:p>
        </w:tc>
      </w:tr>
      <w:tr w:rsidR="00630DCE" w:rsidRPr="00316CD9" w14:paraId="32B36C59" w14:textId="77777777" w:rsidTr="00630DCE">
        <w:tc>
          <w:tcPr>
            <w:tcW w:w="3104" w:type="dxa"/>
          </w:tcPr>
          <w:p w14:paraId="78ADAD81" w14:textId="77777777" w:rsidR="00630DCE" w:rsidRPr="00316CD9" w:rsidRDefault="00630DCE" w:rsidP="0031301C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Minist.poljopr., vodopr.i šumarstva</w:t>
            </w:r>
          </w:p>
        </w:tc>
        <w:tc>
          <w:tcPr>
            <w:tcW w:w="5431" w:type="dxa"/>
          </w:tcPr>
          <w:p w14:paraId="39E6290C" w14:textId="7469F979" w:rsidR="00630DCE" w:rsidRPr="00316CD9" w:rsidRDefault="00630DCE" w:rsidP="0031301C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 xml:space="preserve">614500 – Grant za </w:t>
            </w:r>
            <w:r>
              <w:rPr>
                <w:sz w:val="18"/>
                <w:szCs w:val="18"/>
              </w:rPr>
              <w:t>vodoprivredu</w:t>
            </w:r>
          </w:p>
        </w:tc>
        <w:tc>
          <w:tcPr>
            <w:tcW w:w="1276" w:type="dxa"/>
          </w:tcPr>
          <w:p w14:paraId="4DC17C83" w14:textId="0E0D34AE" w:rsidR="00630DCE" w:rsidRPr="00316CD9" w:rsidRDefault="00630DCE" w:rsidP="0031301C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</w:t>
            </w:r>
          </w:p>
        </w:tc>
      </w:tr>
      <w:tr w:rsidR="00630DCE" w:rsidRPr="00316CD9" w14:paraId="6B49A9B5" w14:textId="77777777" w:rsidTr="00630DCE">
        <w:tc>
          <w:tcPr>
            <w:tcW w:w="3104" w:type="dxa"/>
          </w:tcPr>
          <w:p w14:paraId="126E2D66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Minist.poljopr., vodopr.i šumarstva</w:t>
            </w:r>
          </w:p>
        </w:tc>
        <w:tc>
          <w:tcPr>
            <w:tcW w:w="5431" w:type="dxa"/>
          </w:tcPr>
          <w:p w14:paraId="27D05C5A" w14:textId="77777777" w:rsidR="00630DCE" w:rsidRPr="00316CD9" w:rsidRDefault="00630DCE" w:rsidP="008A43E4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614500 – Grant za uređenje poljoprivrednog zemljišta</w:t>
            </w:r>
          </w:p>
        </w:tc>
        <w:tc>
          <w:tcPr>
            <w:tcW w:w="1276" w:type="dxa"/>
          </w:tcPr>
          <w:p w14:paraId="7F73A84E" w14:textId="1088AD96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120.000</w:t>
            </w:r>
          </w:p>
        </w:tc>
      </w:tr>
      <w:tr w:rsidR="00630DCE" w:rsidRPr="00316CD9" w14:paraId="6D82A858" w14:textId="77777777" w:rsidTr="00630DCE">
        <w:tc>
          <w:tcPr>
            <w:tcW w:w="3104" w:type="dxa"/>
          </w:tcPr>
          <w:p w14:paraId="38DC3615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Ministarstvo financija</w:t>
            </w:r>
          </w:p>
        </w:tc>
        <w:tc>
          <w:tcPr>
            <w:tcW w:w="5431" w:type="dxa"/>
          </w:tcPr>
          <w:p w14:paraId="7313A0FD" w14:textId="77777777" w:rsidR="00630DCE" w:rsidRPr="00316CD9" w:rsidRDefault="00630DCE" w:rsidP="008A43E4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614800 – Ostali grantovi-izvršenje sudskih presuda i rješ.o izvrš.</w:t>
            </w:r>
          </w:p>
        </w:tc>
        <w:tc>
          <w:tcPr>
            <w:tcW w:w="1276" w:type="dxa"/>
          </w:tcPr>
          <w:p w14:paraId="5313F030" w14:textId="54D9A484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3.500</w:t>
            </w:r>
          </w:p>
        </w:tc>
      </w:tr>
      <w:tr w:rsidR="00630DCE" w:rsidRPr="00316CD9" w14:paraId="18654DC0" w14:textId="77777777" w:rsidTr="00630DCE">
        <w:tc>
          <w:tcPr>
            <w:tcW w:w="3104" w:type="dxa"/>
          </w:tcPr>
          <w:p w14:paraId="488119E6" w14:textId="77777777" w:rsidR="00630DCE" w:rsidRPr="00316CD9" w:rsidRDefault="00630DCE" w:rsidP="00700EBB">
            <w:pPr>
              <w:pStyle w:val="Tijeloteksta"/>
              <w:rPr>
                <w:b/>
                <w:sz w:val="18"/>
                <w:szCs w:val="18"/>
              </w:rPr>
            </w:pPr>
          </w:p>
        </w:tc>
        <w:tc>
          <w:tcPr>
            <w:tcW w:w="5431" w:type="dxa"/>
          </w:tcPr>
          <w:p w14:paraId="1BCB75FB" w14:textId="77777777" w:rsidR="00630DCE" w:rsidRPr="00316CD9" w:rsidRDefault="00630DCE" w:rsidP="00700EBB">
            <w:pPr>
              <w:pStyle w:val="Tijeloteksta"/>
              <w:rPr>
                <w:b/>
                <w:sz w:val="18"/>
                <w:szCs w:val="18"/>
              </w:rPr>
            </w:pPr>
            <w:r w:rsidRPr="00316CD9">
              <w:rPr>
                <w:b/>
                <w:sz w:val="18"/>
                <w:szCs w:val="18"/>
              </w:rPr>
              <w:t>UKUPNO (povećanje):</w:t>
            </w:r>
          </w:p>
        </w:tc>
        <w:tc>
          <w:tcPr>
            <w:tcW w:w="1276" w:type="dxa"/>
          </w:tcPr>
          <w:p w14:paraId="6779E776" w14:textId="0D0094B5" w:rsidR="00630DCE" w:rsidRPr="00316CD9" w:rsidRDefault="00630DCE" w:rsidP="00700EBB">
            <w:pPr>
              <w:pStyle w:val="Tijeloteksta"/>
              <w:jc w:val="right"/>
              <w:rPr>
                <w:b/>
                <w:sz w:val="18"/>
                <w:szCs w:val="18"/>
              </w:rPr>
            </w:pPr>
            <w:r w:rsidRPr="00316CD9">
              <w:rPr>
                <w:b/>
                <w:sz w:val="18"/>
                <w:szCs w:val="18"/>
              </w:rPr>
              <w:fldChar w:fldCharType="begin"/>
            </w:r>
            <w:r w:rsidRPr="00316CD9">
              <w:rPr>
                <w:b/>
                <w:sz w:val="18"/>
                <w:szCs w:val="18"/>
              </w:rPr>
              <w:instrText xml:space="preserve"> =SUM(ABOVE) </w:instrText>
            </w:r>
            <w:r w:rsidRPr="00316CD9">
              <w:rPr>
                <w:b/>
                <w:sz w:val="18"/>
                <w:szCs w:val="18"/>
              </w:rPr>
              <w:fldChar w:fldCharType="separate"/>
            </w:r>
            <w:r w:rsidRPr="00316CD9">
              <w:rPr>
                <w:b/>
                <w:sz w:val="18"/>
                <w:szCs w:val="18"/>
              </w:rPr>
              <w:fldChar w:fldCharType="end"/>
            </w: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1.768.970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016486E9" w14:textId="77777777" w:rsidR="00426311" w:rsidRDefault="00426311" w:rsidP="00426311">
      <w:pPr>
        <w:pStyle w:val="Tijeloteksta"/>
        <w:ind w:firstLine="720"/>
      </w:pPr>
    </w:p>
    <w:p w14:paraId="1C6AD579" w14:textId="5D244807" w:rsidR="008165C6" w:rsidRPr="00BD16FE" w:rsidRDefault="009B0278" w:rsidP="007956F6">
      <w:pPr>
        <w:pStyle w:val="Tijeloteksta"/>
        <w:ind w:firstLine="720"/>
      </w:pPr>
      <w:r>
        <w:t xml:space="preserve">Povećanje navedenih grantovskih rashoda </w:t>
      </w:r>
      <w:r w:rsidR="00B44FB2">
        <w:t xml:space="preserve">najvećim dijelom je </w:t>
      </w:r>
      <w:r w:rsidR="00F23356">
        <w:t xml:space="preserve">rezultat </w:t>
      </w:r>
      <w:r w:rsidR="00B44FB2">
        <w:t xml:space="preserve">prilagođavanja </w:t>
      </w:r>
      <w:r w:rsidR="00A633BF">
        <w:t>promjenjivim i još uvijek negativnim ekonomskim kretanjima</w:t>
      </w:r>
      <w:r w:rsidR="007C36A6">
        <w:t xml:space="preserve"> i uočenim potrebama u 2024. godini</w:t>
      </w:r>
      <w:r w:rsidR="004F650B">
        <w:t xml:space="preserve">. Tako se planiraju povećanja izdvajanja za socijalnu zaštitu, dječji doplatak i porodne naknade zaposlenim majkama, </w:t>
      </w:r>
      <w:r w:rsidR="006B5AA0">
        <w:t>povećanje obveza proizašlih iz utvrđenih programa utroška za razvoj poduzetništva, obrta i zadruga</w:t>
      </w:r>
      <w:r w:rsidR="00F01895">
        <w:t xml:space="preserve"> i </w:t>
      </w:r>
      <w:r w:rsidR="00A0491F">
        <w:t xml:space="preserve">povećanje </w:t>
      </w:r>
      <w:r w:rsidR="00F01895">
        <w:t xml:space="preserve">izdvajanja za stambeno zbrinjavanje mladih osoba i socijalnih kategorija. </w:t>
      </w:r>
      <w:r w:rsidR="00036BC8">
        <w:t>Također se planiraju i novi programi kao što je subvencioniranje stambenog rješavanja liječnika u j</w:t>
      </w:r>
      <w:r w:rsidR="00A80CE3">
        <w:t xml:space="preserve">avnim zdravstvenim ustanovama, dok se dosadašnje izdvajanje </w:t>
      </w:r>
      <w:r w:rsidR="00301F27">
        <w:t xml:space="preserve">neprofitnim </w:t>
      </w:r>
      <w:r w:rsidR="00301F27" w:rsidRPr="00BD16FE">
        <w:t>organizacijama i udrugama građana koje je bilo planirano unutar pozicije „Grant za branitelje i stradalnike Domovinskog rata“</w:t>
      </w:r>
      <w:r w:rsidR="00BD16FE" w:rsidRPr="00BD16FE">
        <w:t xml:space="preserve"> od proračunske 2025. godine planira na poziciji „Grant za obilježavanje značajnih datuma i drugih aktivnosti vezano za Domovinski rat</w:t>
      </w:r>
      <w:r w:rsidR="00BD16FE">
        <w:t>“</w:t>
      </w:r>
      <w:r w:rsidR="005E3260">
        <w:t xml:space="preserve">. </w:t>
      </w:r>
      <w:r w:rsidR="00A603CF">
        <w:t xml:space="preserve">Povećanje grantovskih izdvajanja za zaštitu okoliša rezultat je pojačanih aktivnosti </w:t>
      </w:r>
      <w:r w:rsidR="0064606E">
        <w:t xml:space="preserve">u apliciranju projekata </w:t>
      </w:r>
      <w:r w:rsidR="00CC63F7">
        <w:t xml:space="preserve">kod viših razina, pa se </w:t>
      </w:r>
      <w:r w:rsidR="00FD57B0">
        <w:t>očekuje da će najveći dio ovih</w:t>
      </w:r>
      <w:r w:rsidR="00426A43">
        <w:t xml:space="preserve"> troškova, uz redovite namjenske prihode, biti financiran iz tekućih/kapitalnih potpora.</w:t>
      </w:r>
      <w:r w:rsidR="00E15176">
        <w:t xml:space="preserve"> U razdjelu 19 Ministarstva poljoprivrede, vodoprivrede i šumarstva</w:t>
      </w:r>
      <w:r w:rsidR="00995742">
        <w:t xml:space="preserve"> povećanje </w:t>
      </w:r>
      <w:r w:rsidR="00EA1F46">
        <w:t>izdvajanja za vodoprivredu i uređenje poljoprivrednog zemljišta</w:t>
      </w:r>
      <w:r w:rsidR="00243F3A">
        <w:t xml:space="preserve"> </w:t>
      </w:r>
      <w:r w:rsidR="009E7A1B">
        <w:t xml:space="preserve">će </w:t>
      </w:r>
      <w:r w:rsidR="00243F3A">
        <w:t xml:space="preserve">se, također, </w:t>
      </w:r>
      <w:r w:rsidR="009E7A1B">
        <w:t xml:space="preserve">financirati iz namjenskih prihoda </w:t>
      </w:r>
      <w:r w:rsidR="00AE3AE5">
        <w:t>ovog razdjela, kao i preostalog dijela razgraničene tekuće potpore.</w:t>
      </w:r>
    </w:p>
    <w:p w14:paraId="7922B69B" w14:textId="77777777" w:rsidR="002E2E5B" w:rsidRDefault="002E2E5B" w:rsidP="00426311">
      <w:pPr>
        <w:pStyle w:val="Tijeloteksta"/>
        <w:ind w:firstLine="720"/>
      </w:pPr>
    </w:p>
    <w:p w14:paraId="0898490D" w14:textId="4EADB5C2" w:rsidR="00426311" w:rsidRPr="00316CD9" w:rsidRDefault="00426311" w:rsidP="00426311">
      <w:pPr>
        <w:pStyle w:val="Tijeloteksta"/>
        <w:ind w:firstLine="720"/>
      </w:pPr>
      <w:r w:rsidRPr="00316CD9">
        <w:t xml:space="preserve">Smanjena potrošnja u odnosu na Proračun </w:t>
      </w:r>
      <w:r w:rsidR="008A43E4" w:rsidRPr="00316CD9">
        <w:t xml:space="preserve">za </w:t>
      </w:r>
      <w:r w:rsidR="00662FCC">
        <w:t>2024</w:t>
      </w:r>
      <w:r w:rsidR="008A43E4" w:rsidRPr="00316CD9">
        <w:t xml:space="preserve">. godinu </w:t>
      </w:r>
      <w:r w:rsidRPr="00316CD9">
        <w:t>planirana je kako slijedi:</w:t>
      </w:r>
    </w:p>
    <w:p w14:paraId="5537383C" w14:textId="77777777" w:rsidR="00426311" w:rsidRPr="00316CD9" w:rsidRDefault="00426311" w:rsidP="00426311">
      <w:pPr>
        <w:pStyle w:val="Tijeloteksta"/>
        <w:ind w:firstLine="720"/>
      </w:pPr>
    </w:p>
    <w:tbl>
      <w:tblPr>
        <w:tblStyle w:val="Reetkatablice"/>
        <w:tblW w:w="9811" w:type="dxa"/>
        <w:tblInd w:w="-318" w:type="dxa"/>
        <w:tblLook w:val="04A0" w:firstRow="1" w:lastRow="0" w:firstColumn="1" w:lastColumn="0" w:noHBand="0" w:noVBand="1"/>
      </w:tblPr>
      <w:tblGrid>
        <w:gridCol w:w="3104"/>
        <w:gridCol w:w="5431"/>
        <w:gridCol w:w="1276"/>
      </w:tblGrid>
      <w:tr w:rsidR="00630DCE" w:rsidRPr="00316CD9" w14:paraId="021EDBFC" w14:textId="77777777" w:rsidTr="00630DCE">
        <w:tc>
          <w:tcPr>
            <w:tcW w:w="3104" w:type="dxa"/>
            <w:vAlign w:val="center"/>
          </w:tcPr>
          <w:p w14:paraId="42754A33" w14:textId="77777777" w:rsidR="00630DCE" w:rsidRPr="00316CD9" w:rsidRDefault="00630DCE" w:rsidP="00700EBB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316CD9">
              <w:rPr>
                <w:b/>
                <w:sz w:val="18"/>
                <w:szCs w:val="18"/>
              </w:rPr>
              <w:t>Proračunski korisnik</w:t>
            </w:r>
          </w:p>
        </w:tc>
        <w:tc>
          <w:tcPr>
            <w:tcW w:w="5431" w:type="dxa"/>
            <w:vAlign w:val="center"/>
          </w:tcPr>
          <w:p w14:paraId="28AC5401" w14:textId="77777777" w:rsidR="00630DCE" w:rsidRPr="00316CD9" w:rsidRDefault="00630DCE" w:rsidP="00700EBB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316CD9">
              <w:rPr>
                <w:b/>
                <w:sz w:val="18"/>
                <w:szCs w:val="18"/>
              </w:rPr>
              <w:t>Pozicija</w:t>
            </w:r>
          </w:p>
        </w:tc>
        <w:tc>
          <w:tcPr>
            <w:tcW w:w="1276" w:type="dxa"/>
            <w:vAlign w:val="center"/>
          </w:tcPr>
          <w:p w14:paraId="761F7D28" w14:textId="77777777" w:rsidR="00630DCE" w:rsidRPr="00316CD9" w:rsidRDefault="00630DCE" w:rsidP="00700EBB">
            <w:pPr>
              <w:pStyle w:val="Tijeloteksta"/>
              <w:jc w:val="center"/>
              <w:rPr>
                <w:b/>
                <w:sz w:val="18"/>
                <w:szCs w:val="18"/>
              </w:rPr>
            </w:pPr>
            <w:r w:rsidRPr="00316CD9">
              <w:rPr>
                <w:b/>
                <w:sz w:val="18"/>
                <w:szCs w:val="18"/>
              </w:rPr>
              <w:t>Smanjenje u KM</w:t>
            </w:r>
          </w:p>
        </w:tc>
      </w:tr>
      <w:tr w:rsidR="00630DCE" w:rsidRPr="00316CD9" w14:paraId="6DE6FC40" w14:textId="77777777" w:rsidTr="00630DCE">
        <w:tc>
          <w:tcPr>
            <w:tcW w:w="3104" w:type="dxa"/>
          </w:tcPr>
          <w:p w14:paraId="3AD9CC0A" w14:textId="4B35CF63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Ministarstvo financija</w:t>
            </w:r>
          </w:p>
        </w:tc>
        <w:tc>
          <w:tcPr>
            <w:tcW w:w="5431" w:type="dxa"/>
          </w:tcPr>
          <w:p w14:paraId="50755CD2" w14:textId="3CDCD1FD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614100 – Grant nižim razinama vlasti</w:t>
            </w:r>
          </w:p>
        </w:tc>
        <w:tc>
          <w:tcPr>
            <w:tcW w:w="1276" w:type="dxa"/>
          </w:tcPr>
          <w:p w14:paraId="4176BF2D" w14:textId="1CD78982" w:rsidR="00630DCE" w:rsidRPr="00316CD9" w:rsidRDefault="00630DCE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300.000</w:t>
            </w:r>
          </w:p>
        </w:tc>
      </w:tr>
      <w:tr w:rsidR="00630DCE" w:rsidRPr="00316CD9" w14:paraId="047FF348" w14:textId="77777777" w:rsidTr="00630DCE">
        <w:tc>
          <w:tcPr>
            <w:tcW w:w="3104" w:type="dxa"/>
          </w:tcPr>
          <w:p w14:paraId="13E49662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Minist.zdravstva i socijalne politike</w:t>
            </w:r>
          </w:p>
        </w:tc>
        <w:tc>
          <w:tcPr>
            <w:tcW w:w="5431" w:type="dxa"/>
          </w:tcPr>
          <w:p w14:paraId="4369F3A9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614100 – Grant za zdravstvene institucije i centre za soc.rad</w:t>
            </w:r>
          </w:p>
        </w:tc>
        <w:tc>
          <w:tcPr>
            <w:tcW w:w="1276" w:type="dxa"/>
          </w:tcPr>
          <w:p w14:paraId="52B56DDD" w14:textId="737F656A" w:rsidR="00630DCE" w:rsidRPr="00316CD9" w:rsidRDefault="00D61A51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400.000</w:t>
            </w:r>
          </w:p>
        </w:tc>
      </w:tr>
      <w:tr w:rsidR="00630DCE" w:rsidRPr="00316CD9" w14:paraId="6F7CCFDD" w14:textId="77777777" w:rsidTr="00630DCE">
        <w:tc>
          <w:tcPr>
            <w:tcW w:w="3104" w:type="dxa"/>
          </w:tcPr>
          <w:p w14:paraId="3BA4BF8A" w14:textId="2CDE7096" w:rsidR="00630DCE" w:rsidRPr="00316CD9" w:rsidRDefault="00B36652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Županijska uprava civilne zaštite</w:t>
            </w:r>
          </w:p>
        </w:tc>
        <w:tc>
          <w:tcPr>
            <w:tcW w:w="5431" w:type="dxa"/>
          </w:tcPr>
          <w:p w14:paraId="3A54D551" w14:textId="55D383FD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 xml:space="preserve">614100 – </w:t>
            </w:r>
            <w:r w:rsidR="00A62483">
              <w:rPr>
                <w:sz w:val="18"/>
                <w:szCs w:val="18"/>
              </w:rPr>
              <w:t>G</w:t>
            </w:r>
            <w:r w:rsidR="00A62483" w:rsidRPr="00A62483">
              <w:rPr>
                <w:sz w:val="18"/>
                <w:szCs w:val="18"/>
              </w:rPr>
              <w:t>rant nižim razinama za uklanjanje posljedica prir.nesreća</w:t>
            </w:r>
          </w:p>
        </w:tc>
        <w:tc>
          <w:tcPr>
            <w:tcW w:w="1276" w:type="dxa"/>
          </w:tcPr>
          <w:p w14:paraId="63886981" w14:textId="5A3862D5" w:rsidR="00630DCE" w:rsidRPr="00316CD9" w:rsidRDefault="00A62483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500.000</w:t>
            </w:r>
          </w:p>
        </w:tc>
      </w:tr>
      <w:tr w:rsidR="00E63BCC" w:rsidRPr="00316CD9" w14:paraId="66F9CA84" w14:textId="77777777" w:rsidTr="00630DCE">
        <w:tc>
          <w:tcPr>
            <w:tcW w:w="3104" w:type="dxa"/>
          </w:tcPr>
          <w:p w14:paraId="10792F8C" w14:textId="17C84E17" w:rsidR="00E63BCC" w:rsidRPr="00316CD9" w:rsidRDefault="00E63BCC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Ministarstvo branitelja</w:t>
            </w:r>
          </w:p>
        </w:tc>
        <w:tc>
          <w:tcPr>
            <w:tcW w:w="5431" w:type="dxa"/>
          </w:tcPr>
          <w:p w14:paraId="1421D93E" w14:textId="178CE0B8" w:rsidR="00E63BCC" w:rsidRPr="00316CD9" w:rsidRDefault="00E63BCC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614200 </w:t>
            </w:r>
            <w:r w:rsidR="00FC6C7A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FC6C7A">
              <w:rPr>
                <w:sz w:val="18"/>
                <w:szCs w:val="18"/>
              </w:rPr>
              <w:t>Grant za branitelje i stradalnike Domovinskog rata</w:t>
            </w:r>
          </w:p>
        </w:tc>
        <w:tc>
          <w:tcPr>
            <w:tcW w:w="1276" w:type="dxa"/>
          </w:tcPr>
          <w:p w14:paraId="7197C8A8" w14:textId="0382D8DE" w:rsidR="00E63BCC" w:rsidRDefault="009B6A12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200.000</w:t>
            </w:r>
          </w:p>
        </w:tc>
      </w:tr>
      <w:tr w:rsidR="00630DCE" w:rsidRPr="00316CD9" w14:paraId="65220DE1" w14:textId="77777777" w:rsidTr="00630DCE">
        <w:tc>
          <w:tcPr>
            <w:tcW w:w="3104" w:type="dxa"/>
          </w:tcPr>
          <w:p w14:paraId="4093F85D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Minist.prosvjete, znan.,kulture i sporta</w:t>
            </w:r>
          </w:p>
        </w:tc>
        <w:tc>
          <w:tcPr>
            <w:tcW w:w="5431" w:type="dxa"/>
          </w:tcPr>
          <w:p w14:paraId="07ABEB4B" w14:textId="77777777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614300 – Grant za financiranje vjerskih zajednica</w:t>
            </w:r>
          </w:p>
        </w:tc>
        <w:tc>
          <w:tcPr>
            <w:tcW w:w="1276" w:type="dxa"/>
          </w:tcPr>
          <w:p w14:paraId="696E581D" w14:textId="7BA83B77" w:rsidR="00630DCE" w:rsidRPr="00316CD9" w:rsidRDefault="00AE5749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250.000</w:t>
            </w:r>
          </w:p>
        </w:tc>
      </w:tr>
      <w:tr w:rsidR="00630DCE" w:rsidRPr="00316CD9" w14:paraId="3EB01B7C" w14:textId="77777777" w:rsidTr="00630DCE">
        <w:tc>
          <w:tcPr>
            <w:tcW w:w="3104" w:type="dxa"/>
          </w:tcPr>
          <w:p w14:paraId="16A48922" w14:textId="77777777" w:rsidR="00630DCE" w:rsidRPr="00316CD9" w:rsidRDefault="00630DCE" w:rsidP="00FB6EB9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Minist.poljopr., vodopr.i šumarstva</w:t>
            </w:r>
          </w:p>
        </w:tc>
        <w:tc>
          <w:tcPr>
            <w:tcW w:w="5431" w:type="dxa"/>
          </w:tcPr>
          <w:p w14:paraId="412D8F41" w14:textId="77777777" w:rsidR="00630DCE" w:rsidRPr="00316CD9" w:rsidRDefault="00630DCE" w:rsidP="007812EA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614500 – Grant za poljoprivredu</w:t>
            </w:r>
          </w:p>
        </w:tc>
        <w:tc>
          <w:tcPr>
            <w:tcW w:w="1276" w:type="dxa"/>
          </w:tcPr>
          <w:p w14:paraId="0BDD8968" w14:textId="5519893E" w:rsidR="00630DCE" w:rsidRPr="00316CD9" w:rsidRDefault="007C0B93" w:rsidP="00FB6EB9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50.000</w:t>
            </w:r>
          </w:p>
        </w:tc>
      </w:tr>
      <w:tr w:rsidR="00630DCE" w:rsidRPr="00316CD9" w14:paraId="63FADFFF" w14:textId="77777777" w:rsidTr="00630DCE">
        <w:tc>
          <w:tcPr>
            <w:tcW w:w="3104" w:type="dxa"/>
          </w:tcPr>
          <w:p w14:paraId="051B2D08" w14:textId="4D4D42BA" w:rsidR="00630DCE" w:rsidRPr="00316CD9" w:rsidRDefault="007C0B93" w:rsidP="00700EBB">
            <w:pPr>
              <w:pStyle w:val="Tijelotekst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Ministarstvo financija</w:t>
            </w:r>
          </w:p>
        </w:tc>
        <w:tc>
          <w:tcPr>
            <w:tcW w:w="5431" w:type="dxa"/>
          </w:tcPr>
          <w:p w14:paraId="7E9B3C3B" w14:textId="227CECF2" w:rsidR="00630DCE" w:rsidRPr="00316CD9" w:rsidRDefault="00630DCE" w:rsidP="00700EBB">
            <w:pPr>
              <w:pStyle w:val="Tijeloteksta"/>
              <w:rPr>
                <w:sz w:val="18"/>
                <w:szCs w:val="18"/>
              </w:rPr>
            </w:pPr>
            <w:r w:rsidRPr="00316CD9">
              <w:rPr>
                <w:sz w:val="18"/>
                <w:szCs w:val="18"/>
              </w:rPr>
              <w:t>614</w:t>
            </w:r>
            <w:r w:rsidR="007C0B93">
              <w:rPr>
                <w:sz w:val="18"/>
                <w:szCs w:val="18"/>
              </w:rPr>
              <w:t>8</w:t>
            </w:r>
            <w:r w:rsidRPr="00316CD9">
              <w:rPr>
                <w:sz w:val="18"/>
                <w:szCs w:val="18"/>
              </w:rPr>
              <w:t xml:space="preserve">00 – </w:t>
            </w:r>
            <w:r w:rsidR="007C0B93">
              <w:rPr>
                <w:sz w:val="18"/>
                <w:szCs w:val="18"/>
              </w:rPr>
              <w:t>Ostali grantovi</w:t>
            </w:r>
            <w:r w:rsidR="00942610">
              <w:rPr>
                <w:sz w:val="18"/>
                <w:szCs w:val="18"/>
              </w:rPr>
              <w:t>-povrat i drugo</w:t>
            </w:r>
          </w:p>
        </w:tc>
        <w:tc>
          <w:tcPr>
            <w:tcW w:w="1276" w:type="dxa"/>
          </w:tcPr>
          <w:p w14:paraId="2462A9B5" w14:textId="2BFBF97F" w:rsidR="00630DCE" w:rsidRPr="00316CD9" w:rsidRDefault="00942610" w:rsidP="00700EBB">
            <w:pPr>
              <w:pStyle w:val="Tijeloteksta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100.000</w:t>
            </w:r>
          </w:p>
        </w:tc>
      </w:tr>
      <w:tr w:rsidR="00630DCE" w:rsidRPr="00316CD9" w14:paraId="003E4C4A" w14:textId="77777777" w:rsidTr="00630DCE">
        <w:tc>
          <w:tcPr>
            <w:tcW w:w="3104" w:type="dxa"/>
          </w:tcPr>
          <w:p w14:paraId="2A70265C" w14:textId="77777777" w:rsidR="00630DCE" w:rsidRPr="00316CD9" w:rsidRDefault="00630DCE" w:rsidP="00700EBB">
            <w:pPr>
              <w:pStyle w:val="Tijeloteksta"/>
              <w:rPr>
                <w:b/>
                <w:sz w:val="18"/>
                <w:szCs w:val="18"/>
              </w:rPr>
            </w:pPr>
          </w:p>
        </w:tc>
        <w:tc>
          <w:tcPr>
            <w:tcW w:w="5431" w:type="dxa"/>
          </w:tcPr>
          <w:p w14:paraId="2B7C6067" w14:textId="77777777" w:rsidR="00630DCE" w:rsidRPr="00316CD9" w:rsidRDefault="00630DCE" w:rsidP="00700EBB">
            <w:pPr>
              <w:pStyle w:val="Tijeloteksta"/>
              <w:rPr>
                <w:b/>
                <w:sz w:val="18"/>
                <w:szCs w:val="18"/>
              </w:rPr>
            </w:pPr>
            <w:r w:rsidRPr="00316CD9">
              <w:rPr>
                <w:b/>
                <w:sz w:val="18"/>
                <w:szCs w:val="18"/>
              </w:rPr>
              <w:t>UKUPNO (smanjenje):</w:t>
            </w:r>
          </w:p>
        </w:tc>
        <w:tc>
          <w:tcPr>
            <w:tcW w:w="1276" w:type="dxa"/>
          </w:tcPr>
          <w:p w14:paraId="5D8B261C" w14:textId="116BC16A" w:rsidR="00630DCE" w:rsidRPr="00316CD9" w:rsidRDefault="009B6A12" w:rsidP="008A43E4">
            <w:pPr>
              <w:pStyle w:val="Tijeloteksta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/>
            </w:r>
            <w:r>
              <w:rPr>
                <w:b/>
                <w:sz w:val="18"/>
                <w:szCs w:val="18"/>
              </w:rPr>
              <w:instrText xml:space="preserve"> =SUM(ABOVE) </w:instrText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1.800.000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7101715F" w14:textId="77777777" w:rsidR="00426311" w:rsidRPr="00316CD9" w:rsidRDefault="00426311" w:rsidP="00426311">
      <w:pPr>
        <w:pStyle w:val="Tijeloteksta"/>
        <w:ind w:firstLine="720"/>
      </w:pPr>
    </w:p>
    <w:p w14:paraId="5F673615" w14:textId="55C477CA" w:rsidR="00426311" w:rsidRPr="00316CD9" w:rsidRDefault="00947CDD" w:rsidP="00426311">
      <w:pPr>
        <w:ind w:firstLine="720"/>
        <w:jc w:val="both"/>
        <w:rPr>
          <w:lang w:val="hr-HR"/>
        </w:rPr>
      </w:pPr>
      <w:r w:rsidRPr="00316CD9">
        <w:rPr>
          <w:lang w:val="hr-HR"/>
        </w:rPr>
        <w:t>Ostale pozicije</w:t>
      </w:r>
      <w:r w:rsidR="00426311" w:rsidRPr="00316CD9">
        <w:rPr>
          <w:lang w:val="hr-HR"/>
        </w:rPr>
        <w:t xml:space="preserve"> tekući</w:t>
      </w:r>
      <w:r w:rsidRPr="00316CD9">
        <w:rPr>
          <w:lang w:val="hr-HR"/>
        </w:rPr>
        <w:t>h grantova</w:t>
      </w:r>
      <w:r w:rsidR="00426311" w:rsidRPr="00316CD9">
        <w:rPr>
          <w:lang w:val="hr-HR"/>
        </w:rPr>
        <w:t xml:space="preserve"> ostaju na razini planiranog</w:t>
      </w:r>
      <w:r w:rsidR="008A43E4" w:rsidRPr="00316CD9">
        <w:rPr>
          <w:lang w:val="hr-HR"/>
        </w:rPr>
        <w:t xml:space="preserve"> u Proračunu za </w:t>
      </w:r>
      <w:r w:rsidR="00894257">
        <w:rPr>
          <w:lang w:val="hr-HR"/>
        </w:rPr>
        <w:t>2024</w:t>
      </w:r>
      <w:r w:rsidR="008A43E4" w:rsidRPr="00316CD9">
        <w:rPr>
          <w:lang w:val="hr-HR"/>
        </w:rPr>
        <w:t>. godinu</w:t>
      </w:r>
      <w:r w:rsidR="00426311" w:rsidRPr="00316CD9">
        <w:rPr>
          <w:lang w:val="hr-HR"/>
        </w:rPr>
        <w:t>.</w:t>
      </w:r>
    </w:p>
    <w:p w14:paraId="37FCF03F" w14:textId="0DB6337D" w:rsidR="00947CDD" w:rsidRPr="00316CD9" w:rsidRDefault="00483513" w:rsidP="00483513">
      <w:pPr>
        <w:pStyle w:val="Tijeloteksta"/>
        <w:ind w:firstLine="720"/>
      </w:pPr>
      <w:r w:rsidRPr="00316CD9">
        <w:t xml:space="preserve">Od ukupno planiranih izdataka za tekuće grantove </w:t>
      </w:r>
      <w:r w:rsidR="00FA12E4">
        <w:t>90,94</w:t>
      </w:r>
      <w:r w:rsidRPr="00316CD9">
        <w:t>% će se financirati iz proračunskih prihoda (</w:t>
      </w:r>
      <w:r w:rsidR="007E623B">
        <w:t>15.153.680</w:t>
      </w:r>
      <w:r w:rsidRPr="00316CD9">
        <w:t xml:space="preserve"> KM), dok će se </w:t>
      </w:r>
      <w:r w:rsidR="005A1604">
        <w:t>9,06</w:t>
      </w:r>
      <w:r w:rsidRPr="00316CD9">
        <w:t xml:space="preserve">% ili </w:t>
      </w:r>
      <w:r w:rsidR="00FA12E4">
        <w:t>1.508.790</w:t>
      </w:r>
      <w:r w:rsidRPr="00316CD9">
        <w:t xml:space="preserve"> KM financirati iz ostalih izvora (namjenski prihodi, tekuće potpore). </w:t>
      </w:r>
    </w:p>
    <w:p w14:paraId="1E8CAA1D" w14:textId="77777777" w:rsidR="004E4FEA" w:rsidRPr="00316CD9" w:rsidRDefault="004E4FEA" w:rsidP="004E4FEA">
      <w:pPr>
        <w:pStyle w:val="Tijeloteksta"/>
        <w:ind w:left="360" w:firstLine="360"/>
      </w:pPr>
    </w:p>
    <w:p w14:paraId="1566EC8C" w14:textId="77777777" w:rsidR="002961C3" w:rsidRPr="00316CD9" w:rsidRDefault="002961C3" w:rsidP="002961C3">
      <w:pPr>
        <w:pStyle w:val="Naslov7"/>
        <w:spacing w:line="240" w:lineRule="auto"/>
        <w:ind w:firstLine="720"/>
      </w:pPr>
      <w:r w:rsidRPr="00316CD9">
        <w:t>5.1.5.</w:t>
      </w:r>
      <w:r w:rsidRPr="00316CD9">
        <w:tab/>
        <w:t>Kapitalni grantovi</w:t>
      </w:r>
    </w:p>
    <w:p w14:paraId="288D7610" w14:textId="7FFC7BFD" w:rsidR="000630AE" w:rsidRPr="00316CD9" w:rsidRDefault="002961C3" w:rsidP="002961C3">
      <w:pPr>
        <w:pStyle w:val="Tijeloteksta"/>
      </w:pPr>
      <w:r w:rsidRPr="00316CD9">
        <w:tab/>
        <w:t xml:space="preserve">Kapitalni grantovi (potkategorija 615000) planirani su u visini od </w:t>
      </w:r>
      <w:r w:rsidR="00700EBB" w:rsidRPr="00316CD9">
        <w:t>1.</w:t>
      </w:r>
      <w:r w:rsidR="008E6C02" w:rsidRPr="00316CD9">
        <w:t>7</w:t>
      </w:r>
      <w:r w:rsidR="00F24EE0">
        <w:t>1</w:t>
      </w:r>
      <w:r w:rsidR="008E6C02" w:rsidRPr="00316CD9">
        <w:t>0</w:t>
      </w:r>
      <w:r w:rsidRPr="00316CD9">
        <w:t>.000 KM</w:t>
      </w:r>
      <w:r w:rsidR="000630AE" w:rsidRPr="00316CD9">
        <w:t>, i</w:t>
      </w:r>
      <w:r w:rsidRPr="00316CD9">
        <w:t xml:space="preserve"> </w:t>
      </w:r>
      <w:r w:rsidR="000630AE" w:rsidRPr="00316CD9">
        <w:t>u</w:t>
      </w:r>
      <w:r w:rsidRPr="00316CD9">
        <w:t xml:space="preserve"> odnosu na Proračun </w:t>
      </w:r>
      <w:r w:rsidR="00F24EE0">
        <w:t>2024</w:t>
      </w:r>
      <w:r w:rsidRPr="00316CD9">
        <w:t xml:space="preserve">. godine </w:t>
      </w:r>
      <w:r w:rsidR="00BD1867">
        <w:t>manji</w:t>
      </w:r>
      <w:r w:rsidR="008E6C02" w:rsidRPr="00316CD9">
        <w:t xml:space="preserve"> s</w:t>
      </w:r>
      <w:r w:rsidR="00BD1867">
        <w:t>u</w:t>
      </w:r>
      <w:r w:rsidR="000630AE" w:rsidRPr="00316CD9">
        <w:t xml:space="preserve"> </w:t>
      </w:r>
      <w:r w:rsidRPr="00316CD9">
        <w:t xml:space="preserve">za </w:t>
      </w:r>
      <w:r w:rsidR="005217E6">
        <w:t>40</w:t>
      </w:r>
      <w:r w:rsidR="008E6C02" w:rsidRPr="00316CD9">
        <w:t>.000</w:t>
      </w:r>
      <w:r w:rsidRPr="00316CD9">
        <w:t xml:space="preserve"> KM ili za </w:t>
      </w:r>
      <w:r w:rsidR="00640DC7">
        <w:t>2,29</w:t>
      </w:r>
      <w:r w:rsidRPr="00316CD9">
        <w:t>%.</w:t>
      </w:r>
      <w:r w:rsidR="000630AE" w:rsidRPr="00316CD9">
        <w:t xml:space="preserve"> </w:t>
      </w:r>
    </w:p>
    <w:p w14:paraId="310F2DFC" w14:textId="77777777" w:rsidR="008D6BCC" w:rsidRDefault="00D52071" w:rsidP="00FA161B">
      <w:pPr>
        <w:pStyle w:val="Tijeloteksta"/>
        <w:ind w:firstLine="720"/>
      </w:pPr>
      <w:r w:rsidRPr="00316CD9">
        <w:t xml:space="preserve">U odnosu na plan </w:t>
      </w:r>
      <w:r w:rsidR="00640DC7">
        <w:t>2024</w:t>
      </w:r>
      <w:r w:rsidRPr="00316CD9">
        <w:t xml:space="preserve">. godine </w:t>
      </w:r>
      <w:r w:rsidR="00753345">
        <w:t>uvodi se nova grantovska pozicija u razdjelu 20</w:t>
      </w:r>
      <w:r w:rsidR="00F108FB">
        <w:t xml:space="preserve"> Ministarstvo prosvjete, znanosti, kulture i sporta Županije Posavske, ekonomski kod 615300</w:t>
      </w:r>
      <w:r w:rsidR="00F36EB0">
        <w:t xml:space="preserve"> – Kapitalni grant vjerskim zajednicama za realizaciju projekata obnove sakralnih objekata</w:t>
      </w:r>
      <w:r w:rsidR="00735D2E">
        <w:t xml:space="preserve"> u iznosu od 200.000 KM. Na pozicijama</w:t>
      </w:r>
      <w:r w:rsidR="00FA161B" w:rsidRPr="00316CD9">
        <w:t xml:space="preserve"> </w:t>
      </w:r>
      <w:r w:rsidR="00B80558">
        <w:t>615100 Kapitalni grant za vodoprivredu</w:t>
      </w:r>
      <w:r w:rsidR="00CD0BAC">
        <w:t xml:space="preserve"> i </w:t>
      </w:r>
      <w:r w:rsidR="00B80558">
        <w:t xml:space="preserve">615100 </w:t>
      </w:r>
      <w:r w:rsidR="00FA161B" w:rsidRPr="00316CD9">
        <w:t xml:space="preserve">Kapitalni grant za uređenje poljoprivrednog zemljišta </w:t>
      </w:r>
      <w:r w:rsidR="00CD0BAC">
        <w:t xml:space="preserve">(razdjel 19. </w:t>
      </w:r>
      <w:r w:rsidR="00FA161B" w:rsidRPr="00316CD9">
        <w:t>Ministarstv</w:t>
      </w:r>
      <w:r w:rsidR="00CD0BAC">
        <w:t>o</w:t>
      </w:r>
      <w:r w:rsidR="00FA161B" w:rsidRPr="00316CD9">
        <w:t xml:space="preserve"> poljoprivrede, vodoprivrede i šumarstva Županije Posavske</w:t>
      </w:r>
      <w:r w:rsidR="00CD0BAC">
        <w:t>)</w:t>
      </w:r>
      <w:r w:rsidR="00BD1867">
        <w:t xml:space="preserve"> p</w:t>
      </w:r>
      <w:r w:rsidR="00CD0BAC">
        <w:t>lan</w:t>
      </w:r>
      <w:r w:rsidR="00BD1867">
        <w:t>ira</w:t>
      </w:r>
      <w:r w:rsidR="008D6BCC">
        <w:t>na je jednaka</w:t>
      </w:r>
      <w:r w:rsidR="00CD0BAC">
        <w:t xml:space="preserve"> potrošnj</w:t>
      </w:r>
      <w:r w:rsidR="008D6BCC">
        <w:t>a</w:t>
      </w:r>
      <w:r w:rsidR="00CD0BAC">
        <w:t xml:space="preserve"> </w:t>
      </w:r>
      <w:r w:rsidR="008827FD">
        <w:t>kao i u 2024. godini, i iznosi 300.000 KM i 150.000 KM</w:t>
      </w:r>
      <w:r w:rsidR="008D6BCC">
        <w:t xml:space="preserve"> respektivno</w:t>
      </w:r>
      <w:r w:rsidR="003746B9">
        <w:t xml:space="preserve">. </w:t>
      </w:r>
    </w:p>
    <w:p w14:paraId="55F712AC" w14:textId="620BB5CA" w:rsidR="00FA161B" w:rsidRPr="00316CD9" w:rsidRDefault="003746B9" w:rsidP="00FA161B">
      <w:pPr>
        <w:pStyle w:val="Tijeloteksta"/>
        <w:ind w:firstLine="720"/>
      </w:pPr>
      <w:r>
        <w:lastRenderedPageBreak/>
        <w:t xml:space="preserve">Smanjenje </w:t>
      </w:r>
      <w:r w:rsidR="00281C8C">
        <w:t xml:space="preserve">potrošnje </w:t>
      </w:r>
      <w:r w:rsidR="00250FEF">
        <w:t>u odnosu na Proračun za 2024. godinu</w:t>
      </w:r>
      <w:r w:rsidR="00281C8C">
        <w:t xml:space="preserve"> </w:t>
      </w:r>
      <w:r>
        <w:t>planirano je u razdjelu 1</w:t>
      </w:r>
      <w:r w:rsidR="00021A5A">
        <w:t>5</w:t>
      </w:r>
      <w:r>
        <w:t xml:space="preserve"> </w:t>
      </w:r>
      <w:r w:rsidR="00021A5A">
        <w:t>Ministarstvo gospodarstva, rada i prostornog uređenja</w:t>
      </w:r>
      <w:r>
        <w:t xml:space="preserve"> Županije Posavske na poziciji 615</w:t>
      </w:r>
      <w:r w:rsidR="00250FEF">
        <w:t>5</w:t>
      </w:r>
      <w:r>
        <w:t>00</w:t>
      </w:r>
      <w:r w:rsidR="00021A5A">
        <w:t xml:space="preserve"> – Kapitalni grant</w:t>
      </w:r>
      <w:r w:rsidR="00FA161B" w:rsidRPr="00316CD9">
        <w:t xml:space="preserve"> </w:t>
      </w:r>
      <w:r w:rsidR="00250FEF">
        <w:t>za razvoj poduzetništva obrta i zadruga</w:t>
      </w:r>
      <w:r w:rsidR="00281C8C">
        <w:t xml:space="preserve"> (smanjenje za 100.000 KM</w:t>
      </w:r>
      <w:r w:rsidR="008114DF">
        <w:t xml:space="preserve"> ili za 9,09%), dok se u istom razdjelu na poziciji 615100 – Kapitalni grant jedinicama lokalne samouprave </w:t>
      </w:r>
      <w:r w:rsidR="003D29F6">
        <w:t xml:space="preserve">za razvoj poduzetničke infrastrukture ne planira potrošnja u 2025. godini. </w:t>
      </w:r>
    </w:p>
    <w:p w14:paraId="7698BADB" w14:textId="1A5B6E50" w:rsidR="00FA161B" w:rsidRPr="00316CD9" w:rsidRDefault="00FA161B" w:rsidP="00FA161B">
      <w:pPr>
        <w:pStyle w:val="Tijeloteksta"/>
        <w:ind w:firstLine="720"/>
      </w:pPr>
      <w:r w:rsidRPr="00316CD9">
        <w:t xml:space="preserve">Od ukupno planiranih izdataka za kapitalne grantove </w:t>
      </w:r>
      <w:r w:rsidR="00CA5BF3">
        <w:t>78,62</w:t>
      </w:r>
      <w:r w:rsidRPr="00316CD9">
        <w:t>% će se financirati iz proračunskih prihoda (</w:t>
      </w:r>
      <w:r w:rsidR="00CA5BF3">
        <w:t>1.344.380</w:t>
      </w:r>
      <w:r w:rsidRPr="00316CD9">
        <w:t xml:space="preserve"> KM), dok će se </w:t>
      </w:r>
      <w:r w:rsidR="008B4340">
        <w:t>21,38</w:t>
      </w:r>
      <w:r w:rsidRPr="00316CD9">
        <w:t xml:space="preserve">% ili </w:t>
      </w:r>
      <w:r w:rsidR="008B4340">
        <w:t>365.620</w:t>
      </w:r>
      <w:r w:rsidRPr="00316CD9">
        <w:t xml:space="preserve"> KM financirati iz ostalih izvora (namjenski prihodi).</w:t>
      </w:r>
    </w:p>
    <w:p w14:paraId="34A2F239" w14:textId="77777777" w:rsidR="002961C3" w:rsidRPr="00316CD9" w:rsidRDefault="002961C3">
      <w:pPr>
        <w:pStyle w:val="Tijeloteksta"/>
      </w:pPr>
    </w:p>
    <w:p w14:paraId="6A335787" w14:textId="77777777" w:rsidR="002961C3" w:rsidRPr="00316CD9" w:rsidRDefault="002961C3" w:rsidP="002961C3">
      <w:pPr>
        <w:pStyle w:val="Naslov7"/>
        <w:spacing w:line="240" w:lineRule="auto"/>
      </w:pPr>
      <w:r w:rsidRPr="00316CD9">
        <w:tab/>
        <w:t>5.1.6.</w:t>
      </w:r>
      <w:r w:rsidRPr="00316CD9">
        <w:tab/>
        <w:t>Izdaci za kamate</w:t>
      </w:r>
    </w:p>
    <w:p w14:paraId="12C7C677" w14:textId="0BC9B91B" w:rsidR="002961C3" w:rsidRPr="008013D7" w:rsidRDefault="002961C3" w:rsidP="008013D7">
      <w:pPr>
        <w:jc w:val="both"/>
        <w:rPr>
          <w:szCs w:val="22"/>
          <w:lang w:val="hr-HR"/>
        </w:rPr>
      </w:pPr>
      <w:r w:rsidRPr="00316CD9">
        <w:rPr>
          <w:lang w:val="hr-HR"/>
        </w:rPr>
        <w:t xml:space="preserve">          </w:t>
      </w:r>
      <w:r w:rsidRPr="00316CD9">
        <w:rPr>
          <w:lang w:val="hr-HR"/>
        </w:rPr>
        <w:tab/>
        <w:t xml:space="preserve">Izdaci za kamate (potkategorija 616000) su planirani u iznosu od </w:t>
      </w:r>
      <w:r w:rsidR="008013D7">
        <w:rPr>
          <w:lang w:val="hr-HR"/>
        </w:rPr>
        <w:t>14.330</w:t>
      </w:r>
      <w:r w:rsidR="004E4FEA" w:rsidRPr="00316CD9">
        <w:rPr>
          <w:lang w:val="hr-HR"/>
        </w:rPr>
        <w:t xml:space="preserve"> KM</w:t>
      </w:r>
      <w:r w:rsidR="000630AE" w:rsidRPr="00316CD9">
        <w:rPr>
          <w:lang w:val="hr-HR"/>
        </w:rPr>
        <w:t xml:space="preserve"> pri Ministarstvu financija Županije Posavske</w:t>
      </w:r>
      <w:r w:rsidR="004E4FEA" w:rsidRPr="00316CD9">
        <w:rPr>
          <w:lang w:val="hr-HR"/>
        </w:rPr>
        <w:t>, a odnose</w:t>
      </w:r>
      <w:r w:rsidRPr="00316CD9">
        <w:rPr>
          <w:lang w:val="hr-HR"/>
        </w:rPr>
        <w:t xml:space="preserve"> se na otplatu kamata na </w:t>
      </w:r>
      <w:r w:rsidRPr="00316CD9">
        <w:rPr>
          <w:szCs w:val="22"/>
          <w:lang w:val="hr-HR"/>
        </w:rPr>
        <w:t>kredit Export-Import banke Republike Koreje za financiranje Faze II Projekta "Modernizacija bolnica u Bosni i Hercegovini"</w:t>
      </w:r>
      <w:r w:rsidR="008013D7">
        <w:rPr>
          <w:szCs w:val="22"/>
          <w:lang w:val="hr-HR"/>
        </w:rPr>
        <w:t>.</w:t>
      </w:r>
    </w:p>
    <w:p w14:paraId="726F5B52" w14:textId="77777777" w:rsidR="002961C3" w:rsidRPr="00316CD9" w:rsidRDefault="002961C3" w:rsidP="002961C3">
      <w:pPr>
        <w:jc w:val="both"/>
        <w:rPr>
          <w:sz w:val="20"/>
          <w:szCs w:val="22"/>
          <w:lang w:val="hr-HR"/>
        </w:rPr>
      </w:pPr>
    </w:p>
    <w:p w14:paraId="350F540C" w14:textId="1BB27DFA" w:rsidR="002961C3" w:rsidRPr="00316CD9" w:rsidRDefault="002961C3" w:rsidP="002961C3">
      <w:pPr>
        <w:ind w:firstLine="720"/>
        <w:jc w:val="both"/>
        <w:rPr>
          <w:szCs w:val="22"/>
          <w:lang w:val="hr-HR"/>
        </w:rPr>
      </w:pPr>
      <w:r w:rsidRPr="00316CD9">
        <w:rPr>
          <w:szCs w:val="22"/>
          <w:lang w:val="hr-HR"/>
        </w:rPr>
        <w:t xml:space="preserve">U odnosu na plan Proračuna za </w:t>
      </w:r>
      <w:r w:rsidR="008013D7">
        <w:rPr>
          <w:szCs w:val="22"/>
          <w:lang w:val="hr-HR"/>
        </w:rPr>
        <w:t>2024</w:t>
      </w:r>
      <w:r w:rsidRPr="00316CD9">
        <w:rPr>
          <w:szCs w:val="22"/>
          <w:lang w:val="hr-HR"/>
        </w:rPr>
        <w:t xml:space="preserve">. godinu izdaci za kamate se smanjuju za </w:t>
      </w:r>
      <w:r w:rsidR="004F1A98">
        <w:rPr>
          <w:szCs w:val="22"/>
          <w:lang w:val="hr-HR"/>
        </w:rPr>
        <w:t>7,61</w:t>
      </w:r>
      <w:r w:rsidRPr="00316CD9">
        <w:rPr>
          <w:szCs w:val="22"/>
          <w:lang w:val="hr-HR"/>
        </w:rPr>
        <w:t>%</w:t>
      </w:r>
      <w:r w:rsidR="000630AE" w:rsidRPr="00316CD9">
        <w:rPr>
          <w:szCs w:val="22"/>
          <w:lang w:val="hr-HR"/>
        </w:rPr>
        <w:t>,</w:t>
      </w:r>
      <w:r w:rsidRPr="00316CD9">
        <w:rPr>
          <w:szCs w:val="22"/>
          <w:lang w:val="hr-HR"/>
        </w:rPr>
        <w:t xml:space="preserve"> ili u apsolutnom iznosu za </w:t>
      </w:r>
      <w:r w:rsidR="004F1A98">
        <w:rPr>
          <w:szCs w:val="22"/>
          <w:lang w:val="hr-HR"/>
        </w:rPr>
        <w:t>1.180</w:t>
      </w:r>
      <w:r w:rsidRPr="00316CD9">
        <w:rPr>
          <w:szCs w:val="22"/>
          <w:lang w:val="hr-HR"/>
        </w:rPr>
        <w:t xml:space="preserve"> KM.</w:t>
      </w:r>
      <w:r w:rsidR="004E4FEA" w:rsidRPr="00316CD9">
        <w:rPr>
          <w:szCs w:val="22"/>
          <w:lang w:val="hr-HR"/>
        </w:rPr>
        <w:t xml:space="preserve"> </w:t>
      </w:r>
    </w:p>
    <w:p w14:paraId="2818228F" w14:textId="77777777" w:rsidR="002961C3" w:rsidRPr="00316CD9" w:rsidRDefault="002961C3">
      <w:pPr>
        <w:pStyle w:val="Tijeloteksta"/>
      </w:pPr>
    </w:p>
    <w:p w14:paraId="0302A14A" w14:textId="77777777" w:rsidR="00F06812" w:rsidRPr="00316CD9" w:rsidRDefault="00F06812">
      <w:pPr>
        <w:pStyle w:val="Tijeloteksta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5"/>
        <w:gridCol w:w="8568"/>
      </w:tblGrid>
      <w:tr w:rsidR="002961C3" w:rsidRPr="00316CD9" w14:paraId="22D6BF2A" w14:textId="77777777" w:rsidTr="00CA1958">
        <w:tc>
          <w:tcPr>
            <w:tcW w:w="828" w:type="dxa"/>
            <w:shd w:val="clear" w:color="auto" w:fill="404040"/>
          </w:tcPr>
          <w:p w14:paraId="75327A6E" w14:textId="77777777" w:rsidR="002961C3" w:rsidRPr="00316CD9" w:rsidRDefault="002961C3" w:rsidP="00CA1958">
            <w:pPr>
              <w:pStyle w:val="Naslov"/>
              <w:rPr>
                <w:color w:val="FFFFFF"/>
              </w:rPr>
            </w:pPr>
            <w:r w:rsidRPr="00316CD9">
              <w:br w:type="page"/>
            </w:r>
            <w:r w:rsidRPr="00316CD9">
              <w:rPr>
                <w:color w:val="FFFFFF"/>
              </w:rPr>
              <w:t>6.</w:t>
            </w:r>
          </w:p>
        </w:tc>
        <w:tc>
          <w:tcPr>
            <w:tcW w:w="8771" w:type="dxa"/>
          </w:tcPr>
          <w:p w14:paraId="2C8FC71F" w14:textId="528DA33D" w:rsidR="002961C3" w:rsidRPr="00316CD9" w:rsidRDefault="002961C3" w:rsidP="004A7D86">
            <w:pPr>
              <w:pStyle w:val="Naslov"/>
              <w:jc w:val="both"/>
            </w:pPr>
            <w:r w:rsidRPr="00316CD9">
              <w:t xml:space="preserve">STRUKTURA PRORAČUNA ŽUPANIJE POSAVSKE ZA </w:t>
            </w:r>
            <w:r w:rsidR="0084351D">
              <w:t>2025</w:t>
            </w:r>
            <w:r w:rsidRPr="00316CD9">
              <w:t>. GODINU – TEKUĆA BILANCA</w:t>
            </w:r>
          </w:p>
        </w:tc>
      </w:tr>
    </w:tbl>
    <w:p w14:paraId="23706C00" w14:textId="77777777" w:rsidR="002961C3" w:rsidRPr="00316CD9" w:rsidRDefault="002961C3" w:rsidP="002961C3">
      <w:pPr>
        <w:jc w:val="both"/>
        <w:rPr>
          <w:b/>
          <w:bCs/>
          <w:sz w:val="28"/>
          <w:lang w:val="hr-HR"/>
        </w:rPr>
      </w:pPr>
    </w:p>
    <w:p w14:paraId="2AEC0941" w14:textId="1C841AD9" w:rsidR="002961C3" w:rsidRPr="00316CD9" w:rsidRDefault="002961C3" w:rsidP="002961C3">
      <w:pPr>
        <w:pStyle w:val="Uvuenotijeloteksta"/>
        <w:spacing w:line="240" w:lineRule="auto"/>
      </w:pPr>
      <w:r w:rsidRPr="00316CD9">
        <w:t xml:space="preserve">Obzirom da planirani prihodi Proračuna Županije Posavske za </w:t>
      </w:r>
      <w:r w:rsidR="0084351D">
        <w:t>2025</w:t>
      </w:r>
      <w:r w:rsidRPr="00316CD9">
        <w:t xml:space="preserve">. godinu iznose </w:t>
      </w:r>
      <w:r w:rsidR="0084351D">
        <w:t>72.458</w:t>
      </w:r>
      <w:r w:rsidR="0009319A">
        <w:t>.350</w:t>
      </w:r>
      <w:r w:rsidRPr="00316CD9">
        <w:t xml:space="preserve"> KM, a proračunski rashodi iznose </w:t>
      </w:r>
      <w:r w:rsidR="0009319A">
        <w:t>65.673.280</w:t>
      </w:r>
      <w:r w:rsidRPr="00316CD9">
        <w:t xml:space="preserve"> KM, planiran je </w:t>
      </w:r>
      <w:r w:rsidRPr="00316CD9">
        <w:rPr>
          <w:b/>
        </w:rPr>
        <w:t>tekući suficit</w:t>
      </w:r>
      <w:r w:rsidRPr="00316CD9">
        <w:t xml:space="preserve"> u iznosu od </w:t>
      </w:r>
      <w:r w:rsidR="0009319A">
        <w:rPr>
          <w:b/>
        </w:rPr>
        <w:t>6.785.070</w:t>
      </w:r>
      <w:r w:rsidRPr="00316CD9">
        <w:rPr>
          <w:b/>
        </w:rPr>
        <w:t xml:space="preserve"> KM</w:t>
      </w:r>
      <w:r w:rsidRPr="00316CD9">
        <w:t>.</w:t>
      </w:r>
    </w:p>
    <w:p w14:paraId="3C2BC081" w14:textId="77777777" w:rsidR="002961C3" w:rsidRPr="00316CD9" w:rsidRDefault="00C74E2C" w:rsidP="002961C3">
      <w:pPr>
        <w:pStyle w:val="Uvuenotijeloteksta"/>
        <w:spacing w:line="240" w:lineRule="auto"/>
        <w:ind w:firstLine="0"/>
        <w:jc w:val="center"/>
      </w:pPr>
      <w:r w:rsidRPr="00316CD9">
        <w:rPr>
          <w:noProof/>
          <w:lang w:eastAsia="hr-HR"/>
        </w:rPr>
        <w:drawing>
          <wp:inline distT="0" distB="0" distL="0" distR="0" wp14:anchorId="5F537816" wp14:editId="2DA2DC32">
            <wp:extent cx="3792855" cy="2138045"/>
            <wp:effectExtent l="0" t="0" r="0" b="0"/>
            <wp:docPr id="33" name="Objekt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584F00C" w14:textId="77777777" w:rsidR="00E87DB7" w:rsidRPr="00316CD9" w:rsidRDefault="00E87DB7">
      <w:pPr>
        <w:pStyle w:val="Tijeloteksta"/>
      </w:pPr>
    </w:p>
    <w:p w14:paraId="07F9FEBD" w14:textId="77777777" w:rsidR="00E87DB7" w:rsidRPr="00316CD9" w:rsidRDefault="00E87DB7">
      <w:pPr>
        <w:pStyle w:val="Tijeloteksta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5"/>
        <w:gridCol w:w="8568"/>
      </w:tblGrid>
      <w:tr w:rsidR="00CA1958" w:rsidRPr="00316CD9" w14:paraId="15B4C04C" w14:textId="77777777">
        <w:tc>
          <w:tcPr>
            <w:tcW w:w="828" w:type="dxa"/>
            <w:shd w:val="clear" w:color="auto" w:fill="404040"/>
          </w:tcPr>
          <w:p w14:paraId="1CAE4E3D" w14:textId="77777777" w:rsidR="00CA1958" w:rsidRPr="00316CD9" w:rsidRDefault="00CA1958">
            <w:pPr>
              <w:pStyle w:val="Naslov"/>
              <w:rPr>
                <w:color w:val="FFFFFF"/>
              </w:rPr>
            </w:pPr>
            <w:r w:rsidRPr="00316CD9">
              <w:br w:type="page"/>
            </w:r>
            <w:r w:rsidRPr="00316CD9">
              <w:rPr>
                <w:color w:val="FFFFFF"/>
              </w:rPr>
              <w:t>7.</w:t>
            </w:r>
          </w:p>
        </w:tc>
        <w:tc>
          <w:tcPr>
            <w:tcW w:w="8771" w:type="dxa"/>
          </w:tcPr>
          <w:p w14:paraId="65FC28C3" w14:textId="0EA02B7A" w:rsidR="00CA1958" w:rsidRPr="00316CD9" w:rsidRDefault="00CA1958" w:rsidP="004A7D86">
            <w:pPr>
              <w:pStyle w:val="Naslov"/>
              <w:jc w:val="both"/>
            </w:pPr>
            <w:r w:rsidRPr="00316CD9">
              <w:t xml:space="preserve">STRUKTURA PRORAČUNA ŽUPANIJE POSAVSKE ZA </w:t>
            </w:r>
            <w:r w:rsidR="008F50F9">
              <w:t>2025</w:t>
            </w:r>
            <w:r w:rsidRPr="00316CD9">
              <w:t>. GODINU – NETO NABAVKA NEFINANCIJSKE IMOVINE</w:t>
            </w:r>
          </w:p>
        </w:tc>
      </w:tr>
    </w:tbl>
    <w:p w14:paraId="5241D5F6" w14:textId="77777777" w:rsidR="00CA1958" w:rsidRPr="00316CD9" w:rsidRDefault="00CA1958">
      <w:pPr>
        <w:jc w:val="both"/>
        <w:rPr>
          <w:lang w:val="hr-HR"/>
        </w:rPr>
      </w:pPr>
    </w:p>
    <w:p w14:paraId="42BA1A9B" w14:textId="75F3EE9B" w:rsidR="00CA1958" w:rsidRPr="00316CD9" w:rsidRDefault="00CA1958">
      <w:pPr>
        <w:pStyle w:val="Uvuenotijeloteksta"/>
        <w:spacing w:line="240" w:lineRule="auto"/>
      </w:pPr>
      <w:r w:rsidRPr="00316CD9">
        <w:t xml:space="preserve">Proračunom za </w:t>
      </w:r>
      <w:r w:rsidR="008F50F9">
        <w:t>2025</w:t>
      </w:r>
      <w:r w:rsidRPr="00316CD9">
        <w:t xml:space="preserve">. godinu planirana </w:t>
      </w:r>
      <w:r w:rsidRPr="00316CD9">
        <w:rPr>
          <w:b/>
        </w:rPr>
        <w:t>neto nabavka nefinancijske imovine</w:t>
      </w:r>
      <w:r w:rsidRPr="00316CD9">
        <w:t xml:space="preserve"> iznosi </w:t>
      </w:r>
      <w:r w:rsidR="00302AD7" w:rsidRPr="00316CD9">
        <w:t xml:space="preserve"> </w:t>
      </w:r>
      <w:r w:rsidR="00D51725" w:rsidRPr="00316CD9">
        <w:t xml:space="preserve">           </w:t>
      </w:r>
      <w:r w:rsidR="00302AD7" w:rsidRPr="00316CD9">
        <w:t xml:space="preserve"> </w:t>
      </w:r>
      <w:r w:rsidR="00AA6780" w:rsidRPr="00316CD9">
        <w:rPr>
          <w:b/>
          <w:bCs/>
        </w:rPr>
        <w:t>-</w:t>
      </w:r>
      <w:r w:rsidR="008F50F9">
        <w:rPr>
          <w:b/>
          <w:bCs/>
        </w:rPr>
        <w:t>6.266.200</w:t>
      </w:r>
      <w:r w:rsidRPr="00316CD9">
        <w:rPr>
          <w:b/>
        </w:rPr>
        <w:t xml:space="preserve"> KM</w:t>
      </w:r>
      <w:r w:rsidRPr="00316CD9">
        <w:t>.</w:t>
      </w:r>
    </w:p>
    <w:p w14:paraId="789B76C9" w14:textId="77777777" w:rsidR="00CA1958" w:rsidRPr="00316CD9" w:rsidRDefault="00CA1958">
      <w:pPr>
        <w:pStyle w:val="Uvuenotijeloteksta"/>
        <w:spacing w:line="240" w:lineRule="auto"/>
      </w:pPr>
    </w:p>
    <w:p w14:paraId="7F28EBFC" w14:textId="77777777" w:rsidR="00CA1958" w:rsidRPr="00316CD9" w:rsidRDefault="00CA1958">
      <w:pPr>
        <w:pStyle w:val="Naslov3"/>
        <w:ind w:firstLine="720"/>
        <w:jc w:val="both"/>
      </w:pPr>
      <w:r w:rsidRPr="00316CD9">
        <w:t xml:space="preserve">7.1.1   </w:t>
      </w:r>
      <w:r w:rsidRPr="00316CD9">
        <w:tab/>
        <w:t>PRIMICI OD PRODAJE NEFINANCIJSKE IMOVINE</w:t>
      </w:r>
    </w:p>
    <w:p w14:paraId="5FF22332" w14:textId="77777777" w:rsidR="00CA1958" w:rsidRPr="00316CD9" w:rsidRDefault="00CA1958">
      <w:pPr>
        <w:rPr>
          <w:sz w:val="16"/>
          <w:szCs w:val="16"/>
          <w:lang w:val="hr-HR"/>
        </w:rPr>
      </w:pPr>
    </w:p>
    <w:p w14:paraId="673D30B8" w14:textId="2F956A9E" w:rsidR="00CA1958" w:rsidRPr="00316CD9" w:rsidRDefault="00CA1958">
      <w:pPr>
        <w:pStyle w:val="Tijeloteksta"/>
      </w:pPr>
      <w:r w:rsidRPr="00316CD9">
        <w:tab/>
        <w:t xml:space="preserve">Primici od prodaje nefinancijske imovine odnosno primici od prodaje stalnih sredstava (kategorija 811000) nisu planirani u </w:t>
      </w:r>
      <w:r w:rsidR="008F50F9">
        <w:t>2025</w:t>
      </w:r>
      <w:r w:rsidRPr="00316CD9">
        <w:t>. godini.</w:t>
      </w:r>
    </w:p>
    <w:p w14:paraId="3182F0D7" w14:textId="77777777" w:rsidR="005165EA" w:rsidRDefault="005165EA">
      <w:pPr>
        <w:autoSpaceDE w:val="0"/>
        <w:autoSpaceDN w:val="0"/>
        <w:adjustRightInd w:val="0"/>
        <w:jc w:val="both"/>
        <w:rPr>
          <w:lang w:val="hr-HR"/>
        </w:rPr>
      </w:pPr>
    </w:p>
    <w:p w14:paraId="0D3404F9" w14:textId="77777777" w:rsidR="003764DE" w:rsidRDefault="003764DE">
      <w:pPr>
        <w:autoSpaceDE w:val="0"/>
        <w:autoSpaceDN w:val="0"/>
        <w:adjustRightInd w:val="0"/>
        <w:jc w:val="both"/>
        <w:rPr>
          <w:lang w:val="hr-HR"/>
        </w:rPr>
      </w:pPr>
    </w:p>
    <w:p w14:paraId="2CBDB949" w14:textId="77777777" w:rsidR="003764DE" w:rsidRPr="00316CD9" w:rsidRDefault="003764DE">
      <w:pPr>
        <w:autoSpaceDE w:val="0"/>
        <w:autoSpaceDN w:val="0"/>
        <w:adjustRightInd w:val="0"/>
        <w:jc w:val="both"/>
        <w:rPr>
          <w:lang w:val="hr-HR"/>
        </w:rPr>
      </w:pPr>
    </w:p>
    <w:p w14:paraId="075E3476" w14:textId="77777777" w:rsidR="00CA1958" w:rsidRPr="00316CD9" w:rsidRDefault="00CA1958">
      <w:pPr>
        <w:pStyle w:val="Naslov3"/>
        <w:ind w:firstLine="720"/>
        <w:jc w:val="both"/>
      </w:pPr>
      <w:r w:rsidRPr="00316CD9">
        <w:t xml:space="preserve">7.1.2   </w:t>
      </w:r>
      <w:r w:rsidRPr="00316CD9">
        <w:tab/>
        <w:t>IZDACI ZA NABAVKU NEFINANCIJSKE IMOVINE</w:t>
      </w:r>
    </w:p>
    <w:p w14:paraId="440F49DD" w14:textId="77777777" w:rsidR="00CA1958" w:rsidRPr="00316CD9" w:rsidRDefault="00CA1958">
      <w:pPr>
        <w:jc w:val="both"/>
        <w:rPr>
          <w:b/>
          <w:bCs/>
          <w:sz w:val="28"/>
          <w:lang w:val="hr-HR"/>
        </w:rPr>
      </w:pPr>
    </w:p>
    <w:p w14:paraId="19918991" w14:textId="58E99E12" w:rsidR="00302AD7" w:rsidRPr="00316CD9" w:rsidRDefault="00CA1958" w:rsidP="00E87DB7">
      <w:pPr>
        <w:jc w:val="both"/>
        <w:rPr>
          <w:lang w:val="hr-HR"/>
        </w:rPr>
      </w:pPr>
      <w:r w:rsidRPr="00316CD9">
        <w:rPr>
          <w:lang w:val="hr-HR"/>
        </w:rPr>
        <w:t xml:space="preserve">          Proračunom za fiskalnu </w:t>
      </w:r>
      <w:r w:rsidR="008F50F9">
        <w:rPr>
          <w:lang w:val="hr-HR"/>
        </w:rPr>
        <w:t>2025</w:t>
      </w:r>
      <w:r w:rsidRPr="00316CD9">
        <w:rPr>
          <w:lang w:val="hr-HR"/>
        </w:rPr>
        <w:t xml:space="preserve">. godinu kod izdataka za nabavku stalnih sredstava (potkategorija 821000) planiran je iznos od </w:t>
      </w:r>
      <w:r w:rsidR="0003576A">
        <w:rPr>
          <w:lang w:val="hr-HR"/>
        </w:rPr>
        <w:t>6.266.200</w:t>
      </w:r>
      <w:r w:rsidRPr="00316CD9">
        <w:rPr>
          <w:lang w:val="hr-HR"/>
        </w:rPr>
        <w:t xml:space="preserve"> KM, što je za </w:t>
      </w:r>
      <w:r w:rsidR="0003576A">
        <w:rPr>
          <w:lang w:val="hr-HR"/>
        </w:rPr>
        <w:t>15,07</w:t>
      </w:r>
      <w:r w:rsidRPr="00316CD9">
        <w:rPr>
          <w:lang w:val="hr-HR"/>
        </w:rPr>
        <w:t xml:space="preserve">% </w:t>
      </w:r>
      <w:r w:rsidR="00D51725" w:rsidRPr="00316CD9">
        <w:rPr>
          <w:lang w:val="hr-HR"/>
        </w:rPr>
        <w:t>manje</w:t>
      </w:r>
      <w:r w:rsidRPr="00316CD9">
        <w:rPr>
          <w:lang w:val="hr-HR"/>
        </w:rPr>
        <w:t xml:space="preserve"> u odnosu na plan </w:t>
      </w:r>
      <w:r w:rsidR="0003576A">
        <w:rPr>
          <w:lang w:val="hr-HR"/>
        </w:rPr>
        <w:t>2024</w:t>
      </w:r>
      <w:r w:rsidRPr="00316CD9">
        <w:rPr>
          <w:lang w:val="hr-HR"/>
        </w:rPr>
        <w:t xml:space="preserve">. godine, odnosno u apsolutnom iznosu </w:t>
      </w:r>
      <w:r w:rsidR="00D51725" w:rsidRPr="00316CD9">
        <w:rPr>
          <w:lang w:val="hr-HR"/>
        </w:rPr>
        <w:t>manje</w:t>
      </w:r>
      <w:r w:rsidRPr="00316CD9">
        <w:rPr>
          <w:lang w:val="hr-HR"/>
        </w:rPr>
        <w:t xml:space="preserve"> za </w:t>
      </w:r>
      <w:r w:rsidR="0097023A">
        <w:rPr>
          <w:lang w:val="hr-HR"/>
        </w:rPr>
        <w:t>1.111.760</w:t>
      </w:r>
      <w:r w:rsidR="001D4A49" w:rsidRPr="00316CD9">
        <w:rPr>
          <w:lang w:val="hr-HR"/>
        </w:rPr>
        <w:t xml:space="preserve"> KM</w:t>
      </w:r>
      <w:r w:rsidRPr="00316CD9">
        <w:rPr>
          <w:lang w:val="hr-HR"/>
        </w:rPr>
        <w:t xml:space="preserve">. U okviru ovih izdataka, </w:t>
      </w:r>
      <w:r w:rsidR="00A84073" w:rsidRPr="00316CD9">
        <w:rPr>
          <w:lang w:val="hr-HR"/>
        </w:rPr>
        <w:t xml:space="preserve">izdaci za nabavku zemljišta (glavna grupa 821100) </w:t>
      </w:r>
      <w:r w:rsidR="0097023A">
        <w:rPr>
          <w:lang w:val="hr-HR"/>
        </w:rPr>
        <w:t>se ne planiraju u 2025. godini</w:t>
      </w:r>
      <w:r w:rsidR="00A84073" w:rsidRPr="00316CD9">
        <w:rPr>
          <w:lang w:val="hr-HR"/>
        </w:rPr>
        <w:t xml:space="preserve">, </w:t>
      </w:r>
      <w:r w:rsidRPr="00316CD9">
        <w:rPr>
          <w:lang w:val="hr-HR"/>
        </w:rPr>
        <w:t xml:space="preserve">izdaci za nabavku građevina (glavna grupa 821200) </w:t>
      </w:r>
      <w:r w:rsidR="0097023A">
        <w:rPr>
          <w:lang w:val="hr-HR"/>
        </w:rPr>
        <w:t xml:space="preserve">iznose </w:t>
      </w:r>
      <w:r w:rsidR="00D51725" w:rsidRPr="00316CD9">
        <w:rPr>
          <w:lang w:val="hr-HR"/>
        </w:rPr>
        <w:t>2.</w:t>
      </w:r>
      <w:r w:rsidR="0097023A">
        <w:rPr>
          <w:lang w:val="hr-HR"/>
        </w:rPr>
        <w:t>675</w:t>
      </w:r>
      <w:r w:rsidR="00D51725" w:rsidRPr="00316CD9">
        <w:rPr>
          <w:lang w:val="hr-HR"/>
        </w:rPr>
        <w:t>.</w:t>
      </w:r>
      <w:r w:rsidR="0097023A">
        <w:rPr>
          <w:lang w:val="hr-HR"/>
        </w:rPr>
        <w:t>70</w:t>
      </w:r>
      <w:r w:rsidR="00D51725" w:rsidRPr="00316CD9">
        <w:rPr>
          <w:lang w:val="hr-HR"/>
        </w:rPr>
        <w:t>0</w:t>
      </w:r>
      <w:r w:rsidRPr="00316CD9">
        <w:rPr>
          <w:lang w:val="hr-HR"/>
        </w:rPr>
        <w:t xml:space="preserve"> KM, izdaci za nabavku opreme (glavna grupa 821300) </w:t>
      </w:r>
      <w:r w:rsidR="001A5836">
        <w:rPr>
          <w:lang w:val="hr-HR"/>
        </w:rPr>
        <w:t>1.095.500</w:t>
      </w:r>
      <w:r w:rsidRPr="00316CD9">
        <w:rPr>
          <w:lang w:val="hr-HR"/>
        </w:rPr>
        <w:t xml:space="preserve"> KM,</w:t>
      </w:r>
      <w:r w:rsidR="001D4A49" w:rsidRPr="00316CD9">
        <w:rPr>
          <w:lang w:val="hr-HR"/>
        </w:rPr>
        <w:t xml:space="preserve"> </w:t>
      </w:r>
      <w:r w:rsidR="005959EC" w:rsidRPr="00316CD9">
        <w:rPr>
          <w:lang w:val="hr-HR"/>
        </w:rPr>
        <w:t xml:space="preserve">nabavka opreme (vatrogasna postrojba) </w:t>
      </w:r>
      <w:r w:rsidR="001A5836">
        <w:rPr>
          <w:lang w:val="hr-HR"/>
        </w:rPr>
        <w:t>560.000</w:t>
      </w:r>
      <w:r w:rsidR="005959EC" w:rsidRPr="00316CD9">
        <w:rPr>
          <w:lang w:val="hr-HR"/>
        </w:rPr>
        <w:t xml:space="preserve"> KM, </w:t>
      </w:r>
      <w:r w:rsidR="001D4A49" w:rsidRPr="00316CD9">
        <w:rPr>
          <w:lang w:val="hr-HR"/>
        </w:rPr>
        <w:t xml:space="preserve">izdaci za nabavku stalnih sredstava u obliku prava (glavna grupa 821500) </w:t>
      </w:r>
      <w:r w:rsidR="001A5836">
        <w:rPr>
          <w:lang w:val="hr-HR"/>
        </w:rPr>
        <w:t>35</w:t>
      </w:r>
      <w:r w:rsidR="00A84073" w:rsidRPr="00316CD9">
        <w:rPr>
          <w:lang w:val="hr-HR"/>
        </w:rPr>
        <w:t>.000</w:t>
      </w:r>
      <w:r w:rsidR="001D4A49" w:rsidRPr="00316CD9">
        <w:rPr>
          <w:lang w:val="hr-HR"/>
        </w:rPr>
        <w:t xml:space="preserve"> KM,</w:t>
      </w:r>
      <w:r w:rsidRPr="00316CD9">
        <w:rPr>
          <w:lang w:val="hr-HR"/>
        </w:rPr>
        <w:t xml:space="preserve"> </w:t>
      </w:r>
      <w:r w:rsidR="00E87DB7" w:rsidRPr="00316CD9">
        <w:rPr>
          <w:lang w:val="hr-HR"/>
        </w:rPr>
        <w:t xml:space="preserve">rekonstrukcija i investicijsko održavanje lokalnih cesta (glavna grupa 821500) </w:t>
      </w:r>
      <w:r w:rsidR="001A5836">
        <w:rPr>
          <w:lang w:val="hr-HR"/>
        </w:rPr>
        <w:t xml:space="preserve">1.400.000 </w:t>
      </w:r>
      <w:r w:rsidR="00E87DB7" w:rsidRPr="00316CD9">
        <w:rPr>
          <w:lang w:val="hr-HR"/>
        </w:rPr>
        <w:t>KM, te</w:t>
      </w:r>
      <w:r w:rsidRPr="00316CD9">
        <w:rPr>
          <w:lang w:val="hr-HR"/>
        </w:rPr>
        <w:t xml:space="preserve"> rekonstrukcija i investicijsko održavanje</w:t>
      </w:r>
      <w:r w:rsidR="00E87DB7" w:rsidRPr="00316CD9">
        <w:rPr>
          <w:lang w:val="hr-HR"/>
        </w:rPr>
        <w:t xml:space="preserve"> regionalnih cesta</w:t>
      </w:r>
      <w:r w:rsidRPr="00316CD9">
        <w:rPr>
          <w:lang w:val="hr-HR"/>
        </w:rPr>
        <w:t xml:space="preserve"> (glavna grupa 821600) </w:t>
      </w:r>
      <w:r w:rsidR="001A5836">
        <w:rPr>
          <w:lang w:val="hr-HR"/>
        </w:rPr>
        <w:t>5</w:t>
      </w:r>
      <w:r w:rsidR="00A84073" w:rsidRPr="00316CD9">
        <w:rPr>
          <w:lang w:val="hr-HR"/>
        </w:rPr>
        <w:t>00.000</w:t>
      </w:r>
      <w:r w:rsidRPr="00316CD9">
        <w:rPr>
          <w:lang w:val="hr-HR"/>
        </w:rPr>
        <w:t xml:space="preserve"> KM. </w:t>
      </w:r>
    </w:p>
    <w:p w14:paraId="788FA898" w14:textId="77777777" w:rsidR="00B56D05" w:rsidRDefault="00FC643B" w:rsidP="00B56D05">
      <w:pPr>
        <w:jc w:val="both"/>
        <w:rPr>
          <w:lang w:val="hr-HR"/>
        </w:rPr>
      </w:pPr>
      <w:r w:rsidRPr="00316CD9">
        <w:rPr>
          <w:lang w:val="hr-HR"/>
        </w:rPr>
        <w:tab/>
        <w:t xml:space="preserve">Povećanje potrošnje u odnosu na </w:t>
      </w:r>
      <w:r w:rsidR="001A5836">
        <w:rPr>
          <w:lang w:val="hr-HR"/>
        </w:rPr>
        <w:t>2024</w:t>
      </w:r>
      <w:r w:rsidRPr="00316CD9">
        <w:rPr>
          <w:lang w:val="hr-HR"/>
        </w:rPr>
        <w:t xml:space="preserve">. godinu planirano je na </w:t>
      </w:r>
      <w:r w:rsidR="005959EC" w:rsidRPr="00316CD9">
        <w:rPr>
          <w:lang w:val="hr-HR"/>
        </w:rPr>
        <w:t>pozicijama</w:t>
      </w:r>
      <w:r w:rsidR="00D51725" w:rsidRPr="00316CD9">
        <w:rPr>
          <w:lang w:val="hr-HR"/>
        </w:rPr>
        <w:t xml:space="preserve">: nabavka </w:t>
      </w:r>
      <w:r w:rsidR="009D06B3">
        <w:rPr>
          <w:lang w:val="hr-HR"/>
        </w:rPr>
        <w:t>opreme</w:t>
      </w:r>
      <w:r w:rsidR="00D51725" w:rsidRPr="00316CD9">
        <w:rPr>
          <w:lang w:val="hr-HR"/>
        </w:rPr>
        <w:t xml:space="preserve"> (</w:t>
      </w:r>
      <w:r w:rsidR="00D24A39">
        <w:rPr>
          <w:lang w:val="hr-HR"/>
        </w:rPr>
        <w:t xml:space="preserve">povećanje za </w:t>
      </w:r>
      <w:r w:rsidR="00235520">
        <w:rPr>
          <w:lang w:val="hr-HR"/>
        </w:rPr>
        <w:t>455.490 KM ili za 71,17%</w:t>
      </w:r>
      <w:r w:rsidR="00D51725" w:rsidRPr="00316CD9">
        <w:rPr>
          <w:lang w:val="hr-HR"/>
        </w:rPr>
        <w:t>), nabavka opreme za vatrogasnu postrojbu (+</w:t>
      </w:r>
      <w:r w:rsidR="0075636F">
        <w:rPr>
          <w:lang w:val="hr-HR"/>
        </w:rPr>
        <w:t>485.240 KM</w:t>
      </w:r>
      <w:r w:rsidR="00D51725" w:rsidRPr="00316CD9">
        <w:rPr>
          <w:lang w:val="hr-HR"/>
        </w:rPr>
        <w:t>) i</w:t>
      </w:r>
      <w:r w:rsidR="00D50C48" w:rsidRPr="00316CD9">
        <w:rPr>
          <w:lang w:val="hr-HR"/>
        </w:rPr>
        <w:t xml:space="preserve"> </w:t>
      </w:r>
      <w:r w:rsidR="00D51725" w:rsidRPr="00316CD9">
        <w:rPr>
          <w:lang w:val="hr-HR"/>
        </w:rPr>
        <w:t xml:space="preserve">rekonstrukcija i investicijsko održavanje </w:t>
      </w:r>
      <w:r w:rsidR="0075636F">
        <w:rPr>
          <w:lang w:val="hr-HR"/>
        </w:rPr>
        <w:t>lokalnih</w:t>
      </w:r>
      <w:r w:rsidR="00D51725" w:rsidRPr="00316CD9">
        <w:rPr>
          <w:lang w:val="hr-HR"/>
        </w:rPr>
        <w:t xml:space="preserve"> cesta (+</w:t>
      </w:r>
      <w:r w:rsidR="00B33854">
        <w:rPr>
          <w:lang w:val="hr-HR"/>
        </w:rPr>
        <w:t>25.000 KM</w:t>
      </w:r>
      <w:r w:rsidR="00D51725" w:rsidRPr="00316CD9">
        <w:rPr>
          <w:lang w:val="hr-HR"/>
        </w:rPr>
        <w:t xml:space="preserve">), dok je smanjenje planirano na pozicijama: nabavka </w:t>
      </w:r>
      <w:r w:rsidR="00945643">
        <w:rPr>
          <w:lang w:val="hr-HR"/>
        </w:rPr>
        <w:t>građevina</w:t>
      </w:r>
      <w:r w:rsidR="00D51725" w:rsidRPr="00316CD9">
        <w:rPr>
          <w:lang w:val="hr-HR"/>
        </w:rPr>
        <w:t xml:space="preserve"> (</w:t>
      </w:r>
      <w:r w:rsidR="00945643">
        <w:rPr>
          <w:lang w:val="hr-HR"/>
        </w:rPr>
        <w:t>smanjenje za 337.490 KM</w:t>
      </w:r>
      <w:r w:rsidR="00D51725" w:rsidRPr="00316CD9">
        <w:rPr>
          <w:lang w:val="hr-HR"/>
        </w:rPr>
        <w:t>), nabavka stalnih sredstava u obliku prava (</w:t>
      </w:r>
      <w:r w:rsidR="00EC07F9">
        <w:rPr>
          <w:lang w:val="hr-HR"/>
        </w:rPr>
        <w:t xml:space="preserve">smanjenje za </w:t>
      </w:r>
      <w:r w:rsidR="00244A2A">
        <w:rPr>
          <w:lang w:val="hr-HR"/>
        </w:rPr>
        <w:t xml:space="preserve">10.000 KM) </w:t>
      </w:r>
      <w:r w:rsidR="00D51725" w:rsidRPr="00316CD9">
        <w:rPr>
          <w:lang w:val="hr-HR"/>
        </w:rPr>
        <w:t xml:space="preserve">i rekonstrukcija i investicijsko održavanje </w:t>
      </w:r>
      <w:r w:rsidR="00244A2A">
        <w:rPr>
          <w:lang w:val="hr-HR"/>
        </w:rPr>
        <w:t>regionalnih cesta</w:t>
      </w:r>
      <w:r w:rsidR="00D51725" w:rsidRPr="00316CD9">
        <w:rPr>
          <w:lang w:val="hr-HR"/>
        </w:rPr>
        <w:t xml:space="preserve"> </w:t>
      </w:r>
      <w:r w:rsidR="00244A2A">
        <w:rPr>
          <w:lang w:val="hr-HR"/>
        </w:rPr>
        <w:t xml:space="preserve">(smanjenje za </w:t>
      </w:r>
      <w:r w:rsidR="002C43CF">
        <w:rPr>
          <w:lang w:val="hr-HR"/>
        </w:rPr>
        <w:t>1,7 milijuna KM</w:t>
      </w:r>
      <w:r w:rsidR="00D51725" w:rsidRPr="00316CD9">
        <w:rPr>
          <w:lang w:val="hr-HR"/>
        </w:rPr>
        <w:t xml:space="preserve">). </w:t>
      </w:r>
    </w:p>
    <w:p w14:paraId="77539465" w14:textId="77777777" w:rsidR="00B0559F" w:rsidRDefault="00755D4B" w:rsidP="00B56D05">
      <w:pPr>
        <w:jc w:val="both"/>
        <w:rPr>
          <w:lang w:val="hr-HR"/>
        </w:rPr>
      </w:pPr>
      <w:r>
        <w:rPr>
          <w:lang w:val="hr-HR"/>
        </w:rPr>
        <w:tab/>
      </w:r>
      <w:r w:rsidR="00B82E60">
        <w:rPr>
          <w:lang w:val="hr-HR"/>
        </w:rPr>
        <w:t xml:space="preserve">U okviru nabavke građevina planirani iznos odnosi se na: </w:t>
      </w:r>
    </w:p>
    <w:p w14:paraId="63DB025B" w14:textId="77777777" w:rsidR="00B0559F" w:rsidRDefault="00AD2A06" w:rsidP="00B0559F">
      <w:pPr>
        <w:pStyle w:val="Odlomakpopisa"/>
        <w:numPr>
          <w:ilvl w:val="0"/>
          <w:numId w:val="4"/>
        </w:numPr>
        <w:jc w:val="both"/>
      </w:pPr>
      <w:r w:rsidRPr="00B0559F">
        <w:t xml:space="preserve">nastavak radova na izgradnji Vatrogasnog doma u Donjoj Mahali, </w:t>
      </w:r>
    </w:p>
    <w:p w14:paraId="7CBDEC82" w14:textId="77777777" w:rsidR="00B0559F" w:rsidRDefault="00AD2A06" w:rsidP="00B0559F">
      <w:pPr>
        <w:pStyle w:val="Odlomakpopisa"/>
        <w:numPr>
          <w:ilvl w:val="0"/>
          <w:numId w:val="4"/>
        </w:numPr>
        <w:jc w:val="both"/>
      </w:pPr>
      <w:r w:rsidRPr="00B0559F">
        <w:t xml:space="preserve">ugradnju </w:t>
      </w:r>
      <w:r w:rsidR="00BA62D8" w:rsidRPr="00B0559F">
        <w:t>dizala</w:t>
      </w:r>
      <w:r w:rsidR="00026B04" w:rsidRPr="00B0559F">
        <w:t xml:space="preserve"> u zgradi Vlade Županije Posavske u Orašju, </w:t>
      </w:r>
    </w:p>
    <w:p w14:paraId="05C83A3A" w14:textId="77777777" w:rsidR="00B0559F" w:rsidRDefault="00EB215B" w:rsidP="00B0559F">
      <w:pPr>
        <w:pStyle w:val="Odlomakpopisa"/>
        <w:numPr>
          <w:ilvl w:val="0"/>
          <w:numId w:val="4"/>
        </w:numPr>
        <w:jc w:val="both"/>
      </w:pPr>
      <w:r w:rsidRPr="00B0559F">
        <w:t>izgradnju sportske dvorane Osnovne škole Vladimira Nazora u Odžaku (I.faza)</w:t>
      </w:r>
      <w:r w:rsidR="00473AF0" w:rsidRPr="00B0559F">
        <w:t xml:space="preserve">, </w:t>
      </w:r>
    </w:p>
    <w:p w14:paraId="4292C159" w14:textId="77777777" w:rsidR="00B0559F" w:rsidRDefault="00473AF0" w:rsidP="00B0559F">
      <w:pPr>
        <w:pStyle w:val="Odlomakpopisa"/>
        <w:numPr>
          <w:ilvl w:val="0"/>
          <w:numId w:val="4"/>
        </w:numPr>
        <w:jc w:val="both"/>
      </w:pPr>
      <w:r w:rsidRPr="00B0559F">
        <w:t>provođenje mjera energetske učinkovitosti na objektu velike sportske dvorane Srednje škole Pere Zečevića u Odžaku</w:t>
      </w:r>
      <w:r w:rsidR="00DF4340" w:rsidRPr="00B0559F">
        <w:t xml:space="preserve"> (I.faza), </w:t>
      </w:r>
    </w:p>
    <w:p w14:paraId="75840A99" w14:textId="77777777" w:rsidR="00B0559F" w:rsidRDefault="00DF4340" w:rsidP="00B0559F">
      <w:pPr>
        <w:pStyle w:val="Odlomakpopisa"/>
        <w:numPr>
          <w:ilvl w:val="0"/>
          <w:numId w:val="4"/>
        </w:numPr>
        <w:jc w:val="both"/>
      </w:pPr>
      <w:r w:rsidRPr="00B0559F">
        <w:t>provođenje mjera energetske učinkovitosti na objektu Srednje strukovne škole u Orašju (</w:t>
      </w:r>
      <w:r w:rsidR="00B95938" w:rsidRPr="00B0559F">
        <w:t xml:space="preserve">II.faza), </w:t>
      </w:r>
    </w:p>
    <w:p w14:paraId="042A3472" w14:textId="60188B12" w:rsidR="00755D4B" w:rsidRDefault="00B95938" w:rsidP="00B0559F">
      <w:pPr>
        <w:pStyle w:val="Odlomakpopisa"/>
        <w:numPr>
          <w:ilvl w:val="0"/>
          <w:numId w:val="4"/>
        </w:numPr>
        <w:jc w:val="both"/>
      </w:pPr>
      <w:r w:rsidRPr="00B0559F">
        <w:t>provođenje mjera energetske učinkovitosti na objektu Školskog centra fra Martina Nedića u Orašju</w:t>
      </w:r>
      <w:r w:rsidR="00E0551C">
        <w:t>,</w:t>
      </w:r>
    </w:p>
    <w:p w14:paraId="09360E55" w14:textId="6165D13B" w:rsidR="00E0551C" w:rsidRDefault="00E0551C" w:rsidP="00B0559F">
      <w:pPr>
        <w:pStyle w:val="Odlomakpopisa"/>
        <w:numPr>
          <w:ilvl w:val="0"/>
          <w:numId w:val="4"/>
        </w:numPr>
        <w:jc w:val="both"/>
      </w:pPr>
      <w:r>
        <w:t>provođenje mjera energetske učinkovitosti na objektu Osnovne škole Braće Radića Domaljevac</w:t>
      </w:r>
      <w:r w:rsidR="00F80261">
        <w:t>,</w:t>
      </w:r>
    </w:p>
    <w:p w14:paraId="3F207939" w14:textId="43A327A6" w:rsidR="00F80261" w:rsidRDefault="00F80261" w:rsidP="00B0559F">
      <w:pPr>
        <w:pStyle w:val="Odlomakpopisa"/>
        <w:numPr>
          <w:ilvl w:val="0"/>
          <w:numId w:val="4"/>
        </w:numPr>
        <w:jc w:val="both"/>
      </w:pPr>
      <w:r>
        <w:t xml:space="preserve">izgradnju vanjskih sportskih terena Školskog centra fra Martina Nedića u Orašju </w:t>
      </w:r>
      <w:r w:rsidR="00455AE9">
        <w:t>(II.faza),</w:t>
      </w:r>
    </w:p>
    <w:p w14:paraId="5B151869" w14:textId="225774AE" w:rsidR="00C9288D" w:rsidRDefault="007806AD" w:rsidP="00B0559F">
      <w:pPr>
        <w:pStyle w:val="Odlomakpopisa"/>
        <w:numPr>
          <w:ilvl w:val="0"/>
          <w:numId w:val="4"/>
        </w:numPr>
        <w:jc w:val="both"/>
      </w:pPr>
      <w:r>
        <w:t>adaptacija školskih i pomoćnih objekata u školama,</w:t>
      </w:r>
    </w:p>
    <w:p w14:paraId="5606DFFC" w14:textId="6D6CAE44" w:rsidR="005A09AF" w:rsidRDefault="000A6009" w:rsidP="00B0559F">
      <w:pPr>
        <w:pStyle w:val="Odlomakpopisa"/>
        <w:numPr>
          <w:ilvl w:val="0"/>
          <w:numId w:val="4"/>
        </w:numPr>
        <w:jc w:val="both"/>
      </w:pPr>
      <w:r>
        <w:t>provođenje mjera energetske učinkovitosti na zgradi Kantonalnog suda u Odžaku i</w:t>
      </w:r>
    </w:p>
    <w:p w14:paraId="599B45A7" w14:textId="5DE8A564" w:rsidR="000A6009" w:rsidRDefault="000D06F6" w:rsidP="00B0559F">
      <w:pPr>
        <w:pStyle w:val="Odlomakpopisa"/>
        <w:numPr>
          <w:ilvl w:val="0"/>
          <w:numId w:val="4"/>
        </w:numPr>
        <w:jc w:val="both"/>
      </w:pPr>
      <w:r>
        <w:t>adaptaciju arhivskih prostorija</w:t>
      </w:r>
      <w:r w:rsidR="00031A14">
        <w:t xml:space="preserve"> u Kantonalnom tužiteljstvu Posavskog kantona.</w:t>
      </w:r>
    </w:p>
    <w:p w14:paraId="30403958" w14:textId="77777777" w:rsidR="00031A14" w:rsidRPr="00B0559F" w:rsidRDefault="00031A14" w:rsidP="00031A14">
      <w:pPr>
        <w:pStyle w:val="Odlomakpopisa"/>
        <w:jc w:val="both"/>
      </w:pPr>
    </w:p>
    <w:p w14:paraId="4FFFD04B" w14:textId="77777777" w:rsidR="007F7021" w:rsidRDefault="006902D8" w:rsidP="00B56D05">
      <w:pPr>
        <w:jc w:val="both"/>
        <w:rPr>
          <w:lang w:val="hr-HR"/>
        </w:rPr>
      </w:pPr>
      <w:r>
        <w:rPr>
          <w:lang w:val="hr-HR"/>
        </w:rPr>
        <w:tab/>
        <w:t xml:space="preserve">U 2025. godini </w:t>
      </w:r>
      <w:r w:rsidR="001D1883">
        <w:rPr>
          <w:lang w:val="hr-HR"/>
        </w:rPr>
        <w:t>kod izdataka za nabavku opreme</w:t>
      </w:r>
      <w:r w:rsidR="00A17255">
        <w:rPr>
          <w:lang w:val="hr-HR"/>
        </w:rPr>
        <w:t>, uz uobičajene troškove nužne za osiguranje neometanog rada proračunskih korisnika</w:t>
      </w:r>
      <w:r w:rsidR="00022CFF">
        <w:rPr>
          <w:lang w:val="hr-HR"/>
        </w:rPr>
        <w:t xml:space="preserve"> </w:t>
      </w:r>
      <w:r w:rsidR="00664454">
        <w:rPr>
          <w:lang w:val="hr-HR"/>
        </w:rPr>
        <w:t>u vidu</w:t>
      </w:r>
      <w:r w:rsidR="00022CFF">
        <w:rPr>
          <w:lang w:val="hr-HR"/>
        </w:rPr>
        <w:t xml:space="preserve"> zamjen</w:t>
      </w:r>
      <w:r w:rsidR="00664454">
        <w:rPr>
          <w:lang w:val="hr-HR"/>
        </w:rPr>
        <w:t>e</w:t>
      </w:r>
      <w:r w:rsidR="00022CFF">
        <w:rPr>
          <w:lang w:val="hr-HR"/>
        </w:rPr>
        <w:t xml:space="preserve"> ili nadogradnj</w:t>
      </w:r>
      <w:r w:rsidR="00664454">
        <w:rPr>
          <w:lang w:val="hr-HR"/>
        </w:rPr>
        <w:t>e</w:t>
      </w:r>
      <w:r w:rsidR="00022CFF">
        <w:rPr>
          <w:lang w:val="hr-HR"/>
        </w:rPr>
        <w:t xml:space="preserve"> postojeće računalne opreme i uredskog namještaja,</w:t>
      </w:r>
      <w:r w:rsidR="001D1883">
        <w:rPr>
          <w:lang w:val="hr-HR"/>
        </w:rPr>
        <w:t xml:space="preserve"> planirana </w:t>
      </w:r>
      <w:r w:rsidR="003B19D7">
        <w:rPr>
          <w:lang w:val="hr-HR"/>
        </w:rPr>
        <w:t>povećanja</w:t>
      </w:r>
      <w:r w:rsidR="001D1883">
        <w:rPr>
          <w:lang w:val="hr-HR"/>
        </w:rPr>
        <w:t xml:space="preserve"> </w:t>
      </w:r>
      <w:r w:rsidR="00B609E1">
        <w:rPr>
          <w:lang w:val="hr-HR"/>
        </w:rPr>
        <w:t xml:space="preserve">odnose se na: </w:t>
      </w:r>
    </w:p>
    <w:p w14:paraId="5EFAEAE2" w14:textId="77777777" w:rsidR="007F7021" w:rsidRDefault="005D22CC" w:rsidP="007F7021">
      <w:pPr>
        <w:pStyle w:val="Odlomakpopisa"/>
        <w:numPr>
          <w:ilvl w:val="0"/>
          <w:numId w:val="4"/>
        </w:numPr>
        <w:jc w:val="both"/>
      </w:pPr>
      <w:r w:rsidRPr="007F7021">
        <w:t xml:space="preserve">nabavku motornog vozila kod Zajedničke službe Vlade Županije Posavske, </w:t>
      </w:r>
    </w:p>
    <w:p w14:paraId="557B3D2A" w14:textId="77777777" w:rsidR="007F7021" w:rsidRDefault="00682368" w:rsidP="007F7021">
      <w:pPr>
        <w:pStyle w:val="Odlomakpopisa"/>
        <w:numPr>
          <w:ilvl w:val="0"/>
          <w:numId w:val="4"/>
        </w:numPr>
        <w:jc w:val="both"/>
      </w:pPr>
      <w:r w:rsidRPr="007F7021">
        <w:t>postojeći leasing</w:t>
      </w:r>
      <w:r w:rsidR="00291890" w:rsidRPr="007F7021">
        <w:t xml:space="preserve"> za motorna vozila,</w:t>
      </w:r>
      <w:r w:rsidR="00EB406D" w:rsidRPr="007F7021">
        <w:t xml:space="preserve"> </w:t>
      </w:r>
      <w:r w:rsidR="00A607C9" w:rsidRPr="007F7021">
        <w:t xml:space="preserve">nabavku 2 putnička </w:t>
      </w:r>
      <w:r w:rsidR="001E7077" w:rsidRPr="007F7021">
        <w:t>i 2 terenska motorna vozila kao i automatskih pušaka</w:t>
      </w:r>
      <w:r w:rsidR="00EB406D" w:rsidRPr="007F7021">
        <w:t xml:space="preserve"> kod </w:t>
      </w:r>
      <w:r w:rsidRPr="007F7021">
        <w:t>Ministarstva unutarnjih poslova</w:t>
      </w:r>
      <w:r w:rsidR="00EB406D" w:rsidRPr="007F7021">
        <w:t xml:space="preserve">, </w:t>
      </w:r>
    </w:p>
    <w:p w14:paraId="6873C28A" w14:textId="77777777" w:rsidR="007F7021" w:rsidRDefault="0032106D" w:rsidP="007F7021">
      <w:pPr>
        <w:pStyle w:val="Odlomakpopisa"/>
        <w:numPr>
          <w:ilvl w:val="0"/>
          <w:numId w:val="4"/>
        </w:numPr>
        <w:jc w:val="both"/>
      </w:pPr>
      <w:r w:rsidRPr="007F7021">
        <w:t>nabavku novih računala i licenci</w:t>
      </w:r>
      <w:r w:rsidR="00AE275F" w:rsidRPr="007F7021">
        <w:t xml:space="preserve"> po nalogu Visokog sudskog i tužiteljskog vijeća BIH kod pravosudnih institucija (Općinski sud Orašje, </w:t>
      </w:r>
      <w:r w:rsidR="001F0B85" w:rsidRPr="007F7021">
        <w:t>Kantonalni sud Odžak i Kantonalno tužiteljstvo Posavskog kantona)</w:t>
      </w:r>
      <w:r w:rsidR="008D0A68" w:rsidRPr="007F7021">
        <w:t xml:space="preserve">, </w:t>
      </w:r>
    </w:p>
    <w:p w14:paraId="2CC8C29B" w14:textId="77777777" w:rsidR="007F7021" w:rsidRDefault="00ED5484" w:rsidP="007F7021">
      <w:pPr>
        <w:pStyle w:val="Odlomakpopisa"/>
        <w:numPr>
          <w:ilvl w:val="0"/>
          <w:numId w:val="4"/>
        </w:numPr>
        <w:jc w:val="both"/>
      </w:pPr>
      <w:r w:rsidRPr="007F7021">
        <w:t>nabavku motornog vozila kod Kantonalnog suda</w:t>
      </w:r>
      <w:r w:rsidR="00EC67E3" w:rsidRPr="007F7021">
        <w:t xml:space="preserve"> Odžak, </w:t>
      </w:r>
    </w:p>
    <w:p w14:paraId="6F5C6C5B" w14:textId="47B5D2AC" w:rsidR="007F7021" w:rsidRDefault="008D0A68" w:rsidP="007F7021">
      <w:pPr>
        <w:pStyle w:val="Odlomakpopisa"/>
        <w:numPr>
          <w:ilvl w:val="0"/>
          <w:numId w:val="4"/>
        </w:numPr>
        <w:jc w:val="both"/>
      </w:pPr>
      <w:r w:rsidRPr="007F7021">
        <w:t>nabavk</w:t>
      </w:r>
      <w:r w:rsidR="00EC67E3" w:rsidRPr="007F7021">
        <w:t>u</w:t>
      </w:r>
      <w:r w:rsidRPr="007F7021">
        <w:t xml:space="preserve"> </w:t>
      </w:r>
      <w:r w:rsidR="00CE6977" w:rsidRPr="007F7021">
        <w:t>motornog vozila i uređenje prostorije za tajne podatke kod Kantonalnog tužiteljstva Posavskog kantona</w:t>
      </w:r>
      <w:r w:rsidR="007F7021">
        <w:t>,</w:t>
      </w:r>
      <w:r w:rsidR="00CE6977" w:rsidRPr="007F7021">
        <w:t xml:space="preserve"> </w:t>
      </w:r>
      <w:r w:rsidR="004A321B" w:rsidRPr="007F7021">
        <w:t xml:space="preserve">te </w:t>
      </w:r>
    </w:p>
    <w:p w14:paraId="0759EB9E" w14:textId="2CDE8336" w:rsidR="001F0B85" w:rsidRPr="007F7021" w:rsidRDefault="004A321B" w:rsidP="007F7021">
      <w:pPr>
        <w:pStyle w:val="Odlomakpopisa"/>
        <w:numPr>
          <w:ilvl w:val="0"/>
          <w:numId w:val="4"/>
        </w:numPr>
        <w:jc w:val="both"/>
      </w:pPr>
      <w:r w:rsidRPr="007F7021">
        <w:t>nabavk</w:t>
      </w:r>
      <w:r w:rsidR="00EC67E3" w:rsidRPr="007F7021">
        <w:t>u</w:t>
      </w:r>
      <w:r w:rsidRPr="007F7021">
        <w:t xml:space="preserve"> vatrogasnog vozila i opremanje Vatrogasnog doma</w:t>
      </w:r>
      <w:r w:rsidR="00EF596A" w:rsidRPr="007F7021">
        <w:t xml:space="preserve"> u Donjoj Mahali kod Županijske uprave civilne zaštite.</w:t>
      </w:r>
    </w:p>
    <w:p w14:paraId="6D3FB1B7" w14:textId="77777777" w:rsidR="007F7021" w:rsidRDefault="007F7021" w:rsidP="00B56D05">
      <w:pPr>
        <w:ind w:firstLine="720"/>
        <w:jc w:val="both"/>
        <w:rPr>
          <w:lang w:val="hr-HR"/>
        </w:rPr>
      </w:pPr>
    </w:p>
    <w:p w14:paraId="4EF914D9" w14:textId="255FF4D1" w:rsidR="00E66966" w:rsidRPr="00316CD9" w:rsidRDefault="00E66966" w:rsidP="00B56D05">
      <w:pPr>
        <w:ind w:firstLine="720"/>
        <w:jc w:val="both"/>
        <w:rPr>
          <w:lang w:val="hr-HR"/>
        </w:rPr>
      </w:pPr>
      <w:r w:rsidRPr="00316CD9">
        <w:rPr>
          <w:lang w:val="hr-HR"/>
        </w:rPr>
        <w:lastRenderedPageBreak/>
        <w:t>Planirana sredstva na poziciji nabavke stalnih sredstava djelom se odnose na investicije koje su uvjetovane već realiziranim ili planiranim namjenskim potporama, donacijama i primicima iz inozemstva ili od drugih razina vlasti (</w:t>
      </w:r>
      <w:r w:rsidR="004744D1">
        <w:rPr>
          <w:lang w:val="hr-HR"/>
        </w:rPr>
        <w:t xml:space="preserve">234.700 </w:t>
      </w:r>
      <w:r w:rsidR="005959EC" w:rsidRPr="00316CD9">
        <w:rPr>
          <w:lang w:val="hr-HR"/>
        </w:rPr>
        <w:t xml:space="preserve">KM ili </w:t>
      </w:r>
      <w:r w:rsidR="00892FB4">
        <w:rPr>
          <w:lang w:val="hr-HR"/>
        </w:rPr>
        <w:t>3,75</w:t>
      </w:r>
      <w:r w:rsidRPr="00316CD9">
        <w:rPr>
          <w:lang w:val="hr-HR"/>
        </w:rPr>
        <w:t>%), kao i namjenskim poreznim i neporeznim prihodima (</w:t>
      </w:r>
      <w:r w:rsidR="00892FB4">
        <w:rPr>
          <w:lang w:val="hr-HR"/>
        </w:rPr>
        <w:t>1.433.570</w:t>
      </w:r>
      <w:r w:rsidRPr="00316CD9">
        <w:rPr>
          <w:lang w:val="hr-HR"/>
        </w:rPr>
        <w:t xml:space="preserve"> KM ili </w:t>
      </w:r>
      <w:r w:rsidR="00892FB4">
        <w:rPr>
          <w:lang w:val="hr-HR"/>
        </w:rPr>
        <w:t>22,88</w:t>
      </w:r>
      <w:r w:rsidRPr="00316CD9">
        <w:rPr>
          <w:lang w:val="hr-HR"/>
        </w:rPr>
        <w:t xml:space="preserve">%), dok se ostatak izdataka za nabavku stalnih sredstava pokriva ili namjerava pokriti iz </w:t>
      </w:r>
      <w:r w:rsidR="005959EC" w:rsidRPr="00316CD9">
        <w:rPr>
          <w:lang w:val="hr-HR"/>
        </w:rPr>
        <w:t>proračunskih prihoda</w:t>
      </w:r>
      <w:r w:rsidRPr="00316CD9">
        <w:rPr>
          <w:lang w:val="hr-HR"/>
        </w:rPr>
        <w:t xml:space="preserve"> za </w:t>
      </w:r>
      <w:r w:rsidR="00892FB4">
        <w:rPr>
          <w:lang w:val="hr-HR"/>
        </w:rPr>
        <w:t>2025</w:t>
      </w:r>
      <w:r w:rsidRPr="00316CD9">
        <w:rPr>
          <w:lang w:val="hr-HR"/>
        </w:rPr>
        <w:t>. godinu (</w:t>
      </w:r>
      <w:r w:rsidR="00892FB4">
        <w:rPr>
          <w:lang w:val="hr-HR"/>
        </w:rPr>
        <w:t>4.597.930</w:t>
      </w:r>
      <w:r w:rsidRPr="00316CD9">
        <w:rPr>
          <w:lang w:val="hr-HR"/>
        </w:rPr>
        <w:t xml:space="preserve"> KM ili </w:t>
      </w:r>
      <w:r w:rsidR="00897F64">
        <w:rPr>
          <w:lang w:val="hr-HR"/>
        </w:rPr>
        <w:t>73,37</w:t>
      </w:r>
      <w:r w:rsidRPr="00316CD9">
        <w:rPr>
          <w:lang w:val="hr-HR"/>
        </w:rPr>
        <w:t>%).</w:t>
      </w:r>
    </w:p>
    <w:p w14:paraId="09C1DCF3" w14:textId="77777777" w:rsidR="00CA1958" w:rsidRPr="00316CD9" w:rsidRDefault="00C74E2C">
      <w:pPr>
        <w:pStyle w:val="Uvuenotijeloteksta"/>
        <w:spacing w:line="240" w:lineRule="auto"/>
        <w:ind w:firstLine="0"/>
        <w:jc w:val="center"/>
      </w:pPr>
      <w:r w:rsidRPr="00316CD9">
        <w:rPr>
          <w:noProof/>
          <w:lang w:eastAsia="hr-HR"/>
        </w:rPr>
        <w:drawing>
          <wp:inline distT="0" distB="0" distL="0" distR="0" wp14:anchorId="597D99F3" wp14:editId="0A22B08B">
            <wp:extent cx="3792855" cy="2138045"/>
            <wp:effectExtent l="0" t="0" r="0" b="0"/>
            <wp:docPr id="51" name="Objekt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D4617FD" w14:textId="77777777" w:rsidR="00153B75" w:rsidRPr="00316CD9" w:rsidRDefault="00153B75">
      <w:pPr>
        <w:jc w:val="both"/>
        <w:rPr>
          <w:lang w:val="hr-HR"/>
        </w:rPr>
      </w:pPr>
    </w:p>
    <w:p w14:paraId="35132A37" w14:textId="77777777" w:rsidR="00153B75" w:rsidRPr="00316CD9" w:rsidRDefault="00153B75">
      <w:pPr>
        <w:jc w:val="both"/>
        <w:rPr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5"/>
        <w:gridCol w:w="8568"/>
      </w:tblGrid>
      <w:tr w:rsidR="00CA1958" w:rsidRPr="00316CD9" w14:paraId="206EC460" w14:textId="77777777">
        <w:tc>
          <w:tcPr>
            <w:tcW w:w="828" w:type="dxa"/>
            <w:shd w:val="clear" w:color="auto" w:fill="404040"/>
          </w:tcPr>
          <w:p w14:paraId="3B4749A3" w14:textId="77777777" w:rsidR="00CA1958" w:rsidRPr="00316CD9" w:rsidRDefault="00CA1958">
            <w:pPr>
              <w:pStyle w:val="Naslov"/>
              <w:rPr>
                <w:color w:val="FFFFFF"/>
              </w:rPr>
            </w:pPr>
            <w:r w:rsidRPr="00316CD9">
              <w:br w:type="page"/>
            </w:r>
            <w:r w:rsidRPr="00316CD9">
              <w:rPr>
                <w:color w:val="FFFFFF"/>
              </w:rPr>
              <w:t>8.</w:t>
            </w:r>
          </w:p>
        </w:tc>
        <w:tc>
          <w:tcPr>
            <w:tcW w:w="8771" w:type="dxa"/>
          </w:tcPr>
          <w:p w14:paraId="38E0BAE5" w14:textId="2B03403C" w:rsidR="00CA1958" w:rsidRPr="00316CD9" w:rsidRDefault="00CA1958" w:rsidP="005959EC">
            <w:pPr>
              <w:pStyle w:val="Naslov"/>
              <w:jc w:val="both"/>
            </w:pPr>
            <w:r w:rsidRPr="00316CD9">
              <w:t xml:space="preserve">STRUKTURA PRORAČUNA ŽUPANIJE POSAVSKE ZA </w:t>
            </w:r>
            <w:r w:rsidR="00501068">
              <w:t>2025</w:t>
            </w:r>
            <w:r w:rsidRPr="00316CD9">
              <w:t>. GODINU – UKUPAN SUFICIT/DEFICIT</w:t>
            </w:r>
          </w:p>
        </w:tc>
      </w:tr>
    </w:tbl>
    <w:p w14:paraId="547060E7" w14:textId="77777777" w:rsidR="00CA1958" w:rsidRPr="00316CD9" w:rsidRDefault="00CA1958">
      <w:pPr>
        <w:jc w:val="both"/>
        <w:rPr>
          <w:lang w:val="hr-HR"/>
        </w:rPr>
      </w:pPr>
    </w:p>
    <w:p w14:paraId="76426970" w14:textId="520E3FBA" w:rsidR="00CA1958" w:rsidRPr="00316CD9" w:rsidRDefault="00CA1958">
      <w:pPr>
        <w:pStyle w:val="Uvuenotijeloteksta"/>
        <w:spacing w:line="240" w:lineRule="auto"/>
      </w:pPr>
      <w:r w:rsidRPr="00316CD9">
        <w:t xml:space="preserve">Proračunom za </w:t>
      </w:r>
      <w:r w:rsidR="00501068">
        <w:t>2025</w:t>
      </w:r>
      <w:r w:rsidRPr="00316CD9">
        <w:t xml:space="preserve">. godinu </w:t>
      </w:r>
      <w:r w:rsidRPr="00316CD9">
        <w:rPr>
          <w:b/>
        </w:rPr>
        <w:t>ukupan suficit</w:t>
      </w:r>
      <w:r w:rsidRPr="00316CD9">
        <w:t xml:space="preserve"> u iznosu od </w:t>
      </w:r>
      <w:r w:rsidR="005959EC" w:rsidRPr="00316CD9">
        <w:rPr>
          <w:b/>
        </w:rPr>
        <w:t>518</w:t>
      </w:r>
      <w:r w:rsidR="001F00ED" w:rsidRPr="00316CD9">
        <w:rPr>
          <w:b/>
        </w:rPr>
        <w:t>.</w:t>
      </w:r>
      <w:r w:rsidR="00D50FB2" w:rsidRPr="00316CD9">
        <w:rPr>
          <w:b/>
        </w:rPr>
        <w:t>870</w:t>
      </w:r>
      <w:r w:rsidRPr="00316CD9">
        <w:t xml:space="preserve"> </w:t>
      </w:r>
      <w:r w:rsidRPr="00316CD9">
        <w:rPr>
          <w:b/>
        </w:rPr>
        <w:t>KM</w:t>
      </w:r>
      <w:r w:rsidRPr="00316CD9">
        <w:t>.</w:t>
      </w:r>
    </w:p>
    <w:p w14:paraId="6CD3E0A0" w14:textId="77777777" w:rsidR="00CA1958" w:rsidRPr="00316CD9" w:rsidRDefault="00C74E2C">
      <w:pPr>
        <w:pStyle w:val="Uvuenotijeloteksta"/>
        <w:spacing w:line="240" w:lineRule="auto"/>
        <w:ind w:firstLine="0"/>
        <w:jc w:val="center"/>
      </w:pPr>
      <w:r w:rsidRPr="00316CD9">
        <w:rPr>
          <w:noProof/>
          <w:lang w:eastAsia="hr-HR"/>
        </w:rPr>
        <w:drawing>
          <wp:inline distT="0" distB="0" distL="0" distR="0" wp14:anchorId="72AF2DE7" wp14:editId="6B2527C5">
            <wp:extent cx="3780155" cy="2133600"/>
            <wp:effectExtent l="0" t="0" r="0" b="0"/>
            <wp:docPr id="5" name="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75D4C8B" w14:textId="77777777" w:rsidR="00CA1958" w:rsidRPr="00316CD9" w:rsidRDefault="00CA1958">
      <w:pPr>
        <w:jc w:val="both"/>
        <w:rPr>
          <w:lang w:val="hr-HR"/>
        </w:rPr>
      </w:pPr>
    </w:p>
    <w:p w14:paraId="714E320E" w14:textId="77777777" w:rsidR="00AB370A" w:rsidRPr="00316CD9" w:rsidRDefault="00AB370A">
      <w:pPr>
        <w:jc w:val="both"/>
        <w:rPr>
          <w:lang w:val="hr-HR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5"/>
        <w:gridCol w:w="8568"/>
      </w:tblGrid>
      <w:tr w:rsidR="00CA1958" w:rsidRPr="00316CD9" w14:paraId="571A1D53" w14:textId="77777777">
        <w:tc>
          <w:tcPr>
            <w:tcW w:w="828" w:type="dxa"/>
            <w:shd w:val="clear" w:color="auto" w:fill="404040"/>
          </w:tcPr>
          <w:p w14:paraId="5FE340D0" w14:textId="77777777" w:rsidR="00CA1958" w:rsidRPr="00316CD9" w:rsidRDefault="00CA1958">
            <w:pPr>
              <w:pStyle w:val="Naslov"/>
              <w:rPr>
                <w:color w:val="FFFFFF"/>
              </w:rPr>
            </w:pPr>
            <w:r w:rsidRPr="00316CD9">
              <w:br w:type="page"/>
            </w:r>
            <w:r w:rsidRPr="00316CD9">
              <w:rPr>
                <w:color w:val="FFFFFF"/>
              </w:rPr>
              <w:t>9.</w:t>
            </w:r>
          </w:p>
        </w:tc>
        <w:tc>
          <w:tcPr>
            <w:tcW w:w="8771" w:type="dxa"/>
          </w:tcPr>
          <w:p w14:paraId="2C3A63F9" w14:textId="4A9A4886" w:rsidR="00CA1958" w:rsidRPr="00316CD9" w:rsidRDefault="00CA1958" w:rsidP="005959EC">
            <w:pPr>
              <w:pStyle w:val="Naslov"/>
              <w:jc w:val="both"/>
            </w:pPr>
            <w:r w:rsidRPr="00316CD9">
              <w:t xml:space="preserve">STRUKTURA PRORAČUNA ŽUPANIJE POSAVSKE ZA </w:t>
            </w:r>
            <w:r w:rsidR="003E0A0E">
              <w:t>2025</w:t>
            </w:r>
            <w:r w:rsidRPr="00316CD9">
              <w:t>. GODINU – NETO FINANCIRANJE</w:t>
            </w:r>
          </w:p>
        </w:tc>
      </w:tr>
    </w:tbl>
    <w:p w14:paraId="1FE3D923" w14:textId="77777777" w:rsidR="00CA1958" w:rsidRPr="00316CD9" w:rsidRDefault="00CA1958">
      <w:pPr>
        <w:jc w:val="both"/>
        <w:rPr>
          <w:lang w:val="hr-HR"/>
        </w:rPr>
      </w:pPr>
    </w:p>
    <w:p w14:paraId="030DE158" w14:textId="4B917993" w:rsidR="00CA1958" w:rsidRPr="00316CD9" w:rsidRDefault="00CA1958">
      <w:pPr>
        <w:pStyle w:val="Uvuenotijeloteksta"/>
        <w:spacing w:line="240" w:lineRule="auto"/>
      </w:pPr>
      <w:r w:rsidRPr="00316CD9">
        <w:t xml:space="preserve">Proračunom za </w:t>
      </w:r>
      <w:r w:rsidR="003E0A0E">
        <w:t>2025</w:t>
      </w:r>
      <w:r w:rsidRPr="00316CD9">
        <w:t xml:space="preserve">. godinu planirano </w:t>
      </w:r>
      <w:r w:rsidRPr="00316CD9">
        <w:rPr>
          <w:b/>
        </w:rPr>
        <w:t>neto financiranje</w:t>
      </w:r>
      <w:r w:rsidRPr="00316CD9">
        <w:t xml:space="preserve"> iznosi </w:t>
      </w:r>
      <w:r w:rsidRPr="00316CD9">
        <w:rPr>
          <w:b/>
        </w:rPr>
        <w:t>-</w:t>
      </w:r>
      <w:r w:rsidR="00FC643B" w:rsidRPr="00316CD9">
        <w:rPr>
          <w:b/>
        </w:rPr>
        <w:t>518</w:t>
      </w:r>
      <w:r w:rsidR="001F00ED" w:rsidRPr="00316CD9">
        <w:rPr>
          <w:b/>
        </w:rPr>
        <w:t>.</w:t>
      </w:r>
      <w:r w:rsidR="00D50FB2" w:rsidRPr="00316CD9">
        <w:rPr>
          <w:b/>
        </w:rPr>
        <w:t>870</w:t>
      </w:r>
      <w:r w:rsidRPr="00316CD9">
        <w:rPr>
          <w:b/>
        </w:rPr>
        <w:t xml:space="preserve"> KM</w:t>
      </w:r>
      <w:r w:rsidRPr="00316CD9">
        <w:t>.</w:t>
      </w:r>
    </w:p>
    <w:p w14:paraId="468AA756" w14:textId="77777777" w:rsidR="00CA1958" w:rsidRPr="00316CD9" w:rsidRDefault="00CA1958">
      <w:pPr>
        <w:pStyle w:val="Uvuenotijeloteksta"/>
        <w:spacing w:line="240" w:lineRule="auto"/>
      </w:pPr>
    </w:p>
    <w:p w14:paraId="50427B31" w14:textId="77777777" w:rsidR="00EA07B7" w:rsidRPr="00316CD9" w:rsidRDefault="00EA07B7">
      <w:pPr>
        <w:pStyle w:val="Uvuenotijeloteksta"/>
        <w:spacing w:line="240" w:lineRule="auto"/>
      </w:pPr>
    </w:p>
    <w:p w14:paraId="217CD554" w14:textId="77777777" w:rsidR="00CA1958" w:rsidRPr="00316CD9" w:rsidRDefault="00CA1958">
      <w:pPr>
        <w:pStyle w:val="Naslov3"/>
        <w:ind w:firstLine="720"/>
        <w:jc w:val="both"/>
      </w:pPr>
      <w:r w:rsidRPr="00316CD9">
        <w:t xml:space="preserve">9.1.1   </w:t>
      </w:r>
      <w:r w:rsidRPr="00316CD9">
        <w:tab/>
        <w:t>PRIMICI OD FINANCIJSKE IMOVINE I ZADUŽIVANJA</w:t>
      </w:r>
    </w:p>
    <w:p w14:paraId="4D10B8C7" w14:textId="77777777" w:rsidR="00CA1958" w:rsidRPr="00316CD9" w:rsidRDefault="00CA1958">
      <w:pPr>
        <w:rPr>
          <w:sz w:val="16"/>
          <w:szCs w:val="16"/>
          <w:lang w:val="hr-HR"/>
        </w:rPr>
      </w:pPr>
    </w:p>
    <w:p w14:paraId="158D8C27" w14:textId="3B2139C4" w:rsidR="00CA1958" w:rsidRPr="00316CD9" w:rsidRDefault="00CA1958">
      <w:pPr>
        <w:pStyle w:val="Tijeloteksta"/>
      </w:pPr>
      <w:r w:rsidRPr="00316CD9">
        <w:tab/>
        <w:t>Primici od financijske imovine i zaduživanja (kategorija 813000, 814000 i 815000) nisu</w:t>
      </w:r>
      <w:r w:rsidR="00302AD7" w:rsidRPr="00316CD9">
        <w:t xml:space="preserve"> planirani u </w:t>
      </w:r>
      <w:r w:rsidR="003E0A0E">
        <w:t>2025</w:t>
      </w:r>
      <w:r w:rsidRPr="00316CD9">
        <w:t>. godini.</w:t>
      </w:r>
    </w:p>
    <w:p w14:paraId="7246702F" w14:textId="77777777" w:rsidR="00CA1958" w:rsidRDefault="00CA1958">
      <w:pPr>
        <w:autoSpaceDE w:val="0"/>
        <w:autoSpaceDN w:val="0"/>
        <w:adjustRightInd w:val="0"/>
        <w:jc w:val="both"/>
        <w:rPr>
          <w:lang w:val="hr-HR"/>
        </w:rPr>
      </w:pPr>
    </w:p>
    <w:p w14:paraId="55FFDB25" w14:textId="77777777" w:rsidR="00F06812" w:rsidRDefault="00F06812">
      <w:pPr>
        <w:autoSpaceDE w:val="0"/>
        <w:autoSpaceDN w:val="0"/>
        <w:adjustRightInd w:val="0"/>
        <w:jc w:val="both"/>
        <w:rPr>
          <w:lang w:val="hr-HR"/>
        </w:rPr>
      </w:pPr>
    </w:p>
    <w:p w14:paraId="44D9D8A3" w14:textId="77777777" w:rsidR="007F7021" w:rsidRDefault="007F7021">
      <w:pPr>
        <w:autoSpaceDE w:val="0"/>
        <w:autoSpaceDN w:val="0"/>
        <w:adjustRightInd w:val="0"/>
        <w:jc w:val="both"/>
        <w:rPr>
          <w:lang w:val="hr-HR"/>
        </w:rPr>
      </w:pPr>
    </w:p>
    <w:p w14:paraId="0BD16BD2" w14:textId="77777777" w:rsidR="007F7021" w:rsidRPr="00316CD9" w:rsidRDefault="007F7021">
      <w:pPr>
        <w:autoSpaceDE w:val="0"/>
        <w:autoSpaceDN w:val="0"/>
        <w:adjustRightInd w:val="0"/>
        <w:jc w:val="both"/>
        <w:rPr>
          <w:lang w:val="hr-HR"/>
        </w:rPr>
      </w:pPr>
    </w:p>
    <w:p w14:paraId="134AA7E0" w14:textId="77777777" w:rsidR="00CA1958" w:rsidRPr="00316CD9" w:rsidRDefault="00CA1958">
      <w:pPr>
        <w:pStyle w:val="Naslov3"/>
        <w:ind w:firstLine="720"/>
        <w:jc w:val="both"/>
      </w:pPr>
      <w:r w:rsidRPr="00316CD9">
        <w:t xml:space="preserve">9.1.2   </w:t>
      </w:r>
      <w:r w:rsidRPr="00316CD9">
        <w:tab/>
        <w:t>IZDACI ZA NABAVKU FINANCIJSKE IMOVINE I OTPLATE DUGOVA</w:t>
      </w:r>
    </w:p>
    <w:p w14:paraId="3216E5F6" w14:textId="77777777" w:rsidR="00CA1958" w:rsidRPr="00316CD9" w:rsidRDefault="00CA1958">
      <w:pPr>
        <w:jc w:val="both"/>
        <w:rPr>
          <w:b/>
          <w:bCs/>
          <w:sz w:val="28"/>
          <w:lang w:val="hr-HR"/>
        </w:rPr>
      </w:pPr>
    </w:p>
    <w:p w14:paraId="3380E0F0" w14:textId="7794FDC5" w:rsidR="00CA1958" w:rsidRPr="00316CD9" w:rsidRDefault="00CA1958">
      <w:pPr>
        <w:pStyle w:val="Tijeloteksta"/>
        <w:ind w:firstLine="720"/>
      </w:pPr>
      <w:r w:rsidRPr="00316CD9">
        <w:t xml:space="preserve">Izdaci za otplate dugova (potkategorija 823000) planirani su u iznosu od </w:t>
      </w:r>
      <w:r w:rsidR="00FC643B" w:rsidRPr="00316CD9">
        <w:t>518.</w:t>
      </w:r>
      <w:r w:rsidR="00D50FB2" w:rsidRPr="00316CD9">
        <w:t>870</w:t>
      </w:r>
      <w:r w:rsidRPr="00316CD9">
        <w:t xml:space="preserve"> KM i odnose se na otplate domaćeg pozajmljivanja za otplatu glavnice:</w:t>
      </w:r>
    </w:p>
    <w:p w14:paraId="72423778" w14:textId="7D7C0D1F" w:rsidR="00153B75" w:rsidRPr="00316CD9" w:rsidRDefault="00153B75" w:rsidP="00D63FFB">
      <w:pPr>
        <w:numPr>
          <w:ilvl w:val="0"/>
          <w:numId w:val="1"/>
        </w:numPr>
        <w:jc w:val="both"/>
        <w:rPr>
          <w:lang w:val="hr-HR"/>
        </w:rPr>
      </w:pPr>
      <w:r w:rsidRPr="00316CD9">
        <w:rPr>
          <w:szCs w:val="22"/>
          <w:lang w:val="hr-HR"/>
        </w:rPr>
        <w:t xml:space="preserve">kredita Export-Import banke Republike Koreje za financiranje Faze II Projekta "Modernizacija bolnica u Bosni i Hercegovini" u iznosu od </w:t>
      </w:r>
      <w:r w:rsidR="00FC643B" w:rsidRPr="00316CD9">
        <w:rPr>
          <w:szCs w:val="22"/>
          <w:lang w:val="hr-HR"/>
        </w:rPr>
        <w:t>88.</w:t>
      </w:r>
      <w:r w:rsidR="00D50FB2" w:rsidRPr="00316CD9">
        <w:rPr>
          <w:szCs w:val="22"/>
          <w:lang w:val="hr-HR"/>
        </w:rPr>
        <w:t>580</w:t>
      </w:r>
      <w:r w:rsidRPr="00316CD9">
        <w:rPr>
          <w:szCs w:val="22"/>
          <w:lang w:val="hr-HR"/>
        </w:rPr>
        <w:t xml:space="preserve"> KM, i</w:t>
      </w:r>
    </w:p>
    <w:p w14:paraId="7156E017" w14:textId="77777777" w:rsidR="00153B75" w:rsidRPr="00316CD9" w:rsidRDefault="00153B75" w:rsidP="00D63FFB">
      <w:pPr>
        <w:numPr>
          <w:ilvl w:val="0"/>
          <w:numId w:val="1"/>
        </w:numPr>
        <w:jc w:val="both"/>
        <w:rPr>
          <w:lang w:val="hr-HR"/>
        </w:rPr>
      </w:pPr>
      <w:r w:rsidRPr="00316CD9">
        <w:rPr>
          <w:szCs w:val="22"/>
          <w:lang w:val="hr-HR"/>
        </w:rPr>
        <w:t>kredita UniCredit bank Austria AG za financiranje projekta nabave, instalacije, obuke i održavanja medicinske i nemedicinske opreme i usluga u Županijskoj bolnici Orašje u iznosu od 430.</w:t>
      </w:r>
      <w:r w:rsidR="006F2C4D" w:rsidRPr="00316CD9">
        <w:rPr>
          <w:szCs w:val="22"/>
          <w:lang w:val="hr-HR"/>
        </w:rPr>
        <w:t>290</w:t>
      </w:r>
      <w:r w:rsidRPr="00316CD9">
        <w:rPr>
          <w:szCs w:val="22"/>
          <w:lang w:val="hr-HR"/>
        </w:rPr>
        <w:t xml:space="preserve"> KM.</w:t>
      </w:r>
    </w:p>
    <w:p w14:paraId="2CDFC8F8" w14:textId="77777777" w:rsidR="00CA1958" w:rsidRPr="00316CD9" w:rsidRDefault="00C74E2C">
      <w:pPr>
        <w:pStyle w:val="Uvuenotijeloteksta"/>
        <w:spacing w:line="240" w:lineRule="auto"/>
        <w:ind w:firstLine="0"/>
        <w:jc w:val="center"/>
      </w:pPr>
      <w:r w:rsidRPr="00316CD9">
        <w:rPr>
          <w:noProof/>
          <w:lang w:eastAsia="hr-HR"/>
        </w:rPr>
        <w:drawing>
          <wp:inline distT="0" distB="0" distL="0" distR="0" wp14:anchorId="7BBB3E4A" wp14:editId="73D6223D">
            <wp:extent cx="3780155" cy="2133600"/>
            <wp:effectExtent l="0" t="0" r="0" b="0"/>
            <wp:docPr id="6" name="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02D9A41" w14:textId="77777777" w:rsidR="00EA07B7" w:rsidRPr="00316CD9" w:rsidRDefault="00EA07B7">
      <w:pPr>
        <w:ind w:firstLine="720"/>
        <w:jc w:val="both"/>
        <w:rPr>
          <w:lang w:val="hr-HR"/>
        </w:rPr>
      </w:pPr>
    </w:p>
    <w:p w14:paraId="10836005" w14:textId="6DB0DEEA" w:rsidR="00CA1958" w:rsidRPr="00316CD9" w:rsidRDefault="00CA1958" w:rsidP="00D50FB2">
      <w:pPr>
        <w:ind w:firstLine="720"/>
        <w:jc w:val="both"/>
        <w:rPr>
          <w:lang w:val="hr-HR"/>
        </w:rPr>
      </w:pPr>
      <w:r w:rsidRPr="00316CD9">
        <w:rPr>
          <w:lang w:val="hr-HR"/>
        </w:rPr>
        <w:t>Sukladno otplatnim planovima postojećih kredita ukupno stanje duga Županije Posavske (glavnica i kamate) pojedinačno po kred</w:t>
      </w:r>
      <w:r w:rsidR="001F00ED" w:rsidRPr="00316CD9">
        <w:rPr>
          <w:lang w:val="hr-HR"/>
        </w:rPr>
        <w:t>itima te ukupno na dan 31.12.</w:t>
      </w:r>
      <w:r w:rsidR="00F17E94">
        <w:rPr>
          <w:lang w:val="hr-HR"/>
        </w:rPr>
        <w:t>2024</w:t>
      </w:r>
      <w:r w:rsidRPr="00316CD9">
        <w:rPr>
          <w:lang w:val="hr-HR"/>
        </w:rPr>
        <w:t>. godine će iznositi:</w:t>
      </w:r>
    </w:p>
    <w:p w14:paraId="1B076055" w14:textId="77777777" w:rsidR="00CA1958" w:rsidRPr="00316CD9" w:rsidRDefault="00CA1958">
      <w:pPr>
        <w:jc w:val="both"/>
        <w:rPr>
          <w:sz w:val="12"/>
          <w:lang w:val="hr-HR"/>
        </w:rPr>
      </w:pPr>
    </w:p>
    <w:p w14:paraId="05075F6B" w14:textId="77777777" w:rsidR="00CA1958" w:rsidRPr="00CE635C" w:rsidRDefault="00E11959">
      <w:pPr>
        <w:ind w:left="720" w:hanging="720"/>
        <w:jc w:val="both"/>
        <w:rPr>
          <w:szCs w:val="20"/>
          <w:lang w:val="hr-HR"/>
        </w:rPr>
      </w:pPr>
      <w:r w:rsidRPr="00CE635C">
        <w:rPr>
          <w:lang w:val="hr-HR"/>
        </w:rPr>
        <w:t>1</w:t>
      </w:r>
      <w:r w:rsidR="00CA1958" w:rsidRPr="00CE635C">
        <w:rPr>
          <w:lang w:val="hr-HR"/>
        </w:rPr>
        <w:t xml:space="preserve">). </w:t>
      </w:r>
      <w:r w:rsidR="00CA1958" w:rsidRPr="00CE635C">
        <w:rPr>
          <w:lang w:val="hr-HR"/>
        </w:rPr>
        <w:tab/>
        <w:t xml:space="preserve">Kredit: UniCredit Bank Austria AG - </w:t>
      </w:r>
      <w:r w:rsidR="00CA1958" w:rsidRPr="00CE635C">
        <w:rPr>
          <w:szCs w:val="20"/>
          <w:lang w:val="hr-HR"/>
        </w:rPr>
        <w:t>Podugovor o kreditu za Projekt nabavke, obuke i održavanja medicinske i nemedicinske opreme i usluga u Kantonalnoj bolnici Orašje</w:t>
      </w:r>
    </w:p>
    <w:p w14:paraId="06E44ABD" w14:textId="77777777" w:rsidR="00CA1958" w:rsidRPr="00CE635C" w:rsidRDefault="00CA1958">
      <w:pPr>
        <w:ind w:firstLine="720"/>
        <w:jc w:val="both"/>
        <w:rPr>
          <w:szCs w:val="20"/>
          <w:lang w:val="hr-HR"/>
        </w:rPr>
      </w:pPr>
      <w:r w:rsidRPr="00CE635C">
        <w:rPr>
          <w:szCs w:val="20"/>
          <w:lang w:val="hr-HR"/>
        </w:rPr>
        <w:t xml:space="preserve">Iznos kredita u originalnoj valuti: 1.980.000,00 EUR </w:t>
      </w:r>
    </w:p>
    <w:p w14:paraId="7F13F758" w14:textId="77777777" w:rsidR="00CA1958" w:rsidRPr="00CE635C" w:rsidRDefault="00CA1958">
      <w:pPr>
        <w:ind w:firstLine="720"/>
        <w:jc w:val="both"/>
        <w:rPr>
          <w:szCs w:val="20"/>
          <w:lang w:val="hr-HR"/>
        </w:rPr>
      </w:pPr>
      <w:r w:rsidRPr="00CE635C">
        <w:rPr>
          <w:szCs w:val="20"/>
          <w:lang w:val="hr-HR"/>
        </w:rPr>
        <w:t>OEKB marža: 1,175% godišnje</w:t>
      </w:r>
    </w:p>
    <w:p w14:paraId="3C04DE22" w14:textId="77777777" w:rsidR="00CA1958" w:rsidRPr="00CE635C" w:rsidRDefault="00CA1958">
      <w:pPr>
        <w:ind w:firstLine="720"/>
        <w:jc w:val="both"/>
        <w:rPr>
          <w:szCs w:val="20"/>
          <w:lang w:val="hr-HR"/>
        </w:rPr>
      </w:pPr>
      <w:r w:rsidRPr="00CE635C">
        <w:rPr>
          <w:szCs w:val="20"/>
          <w:lang w:val="hr-HR"/>
        </w:rPr>
        <w:t>Otplata: polugodišnje</w:t>
      </w:r>
    </w:p>
    <w:p w14:paraId="21CA9F3C" w14:textId="77777777" w:rsidR="00CA1958" w:rsidRPr="00CE635C" w:rsidRDefault="00CA1958">
      <w:pPr>
        <w:ind w:left="720"/>
        <w:jc w:val="both"/>
        <w:rPr>
          <w:szCs w:val="20"/>
          <w:lang w:val="hr-HR"/>
        </w:rPr>
      </w:pPr>
      <w:r w:rsidRPr="00CE635C">
        <w:rPr>
          <w:szCs w:val="20"/>
          <w:lang w:val="hr-HR"/>
        </w:rPr>
        <w:t>Razdoblje otplate: glavnica 31.07.2016.-31.07.2024.g. (reprogram: 28.02.2018.-28.08.2026.g.), kamate 30.02.2012-30.09.2024.g.</w:t>
      </w:r>
    </w:p>
    <w:p w14:paraId="754B9550" w14:textId="59456BB1" w:rsidR="00CA1958" w:rsidRPr="00CE635C" w:rsidRDefault="00CA1958">
      <w:pPr>
        <w:ind w:left="720"/>
        <w:jc w:val="both"/>
        <w:rPr>
          <w:szCs w:val="20"/>
          <w:lang w:val="hr-HR"/>
        </w:rPr>
      </w:pPr>
      <w:r w:rsidRPr="00CE635C">
        <w:rPr>
          <w:szCs w:val="20"/>
          <w:lang w:val="hr-HR"/>
        </w:rPr>
        <w:t xml:space="preserve">Stanje duga u </w:t>
      </w:r>
      <w:r w:rsidR="006F2C4D" w:rsidRPr="00CE635C">
        <w:rPr>
          <w:szCs w:val="20"/>
          <w:lang w:val="hr-HR"/>
        </w:rPr>
        <w:t>originalnoj valuti</w:t>
      </w:r>
      <w:r w:rsidRPr="00CE635C">
        <w:rPr>
          <w:szCs w:val="20"/>
          <w:lang w:val="hr-HR"/>
        </w:rPr>
        <w:t xml:space="preserve"> (na dan 31.12.</w:t>
      </w:r>
      <w:r w:rsidR="009962FF" w:rsidRPr="00CE635C">
        <w:rPr>
          <w:szCs w:val="20"/>
          <w:lang w:val="hr-HR"/>
        </w:rPr>
        <w:t>2024</w:t>
      </w:r>
      <w:r w:rsidRPr="00CE635C">
        <w:rPr>
          <w:szCs w:val="20"/>
          <w:lang w:val="hr-HR"/>
        </w:rPr>
        <w:t xml:space="preserve">.g.): </w:t>
      </w:r>
      <w:r w:rsidR="009962FF" w:rsidRPr="00CE635C">
        <w:rPr>
          <w:szCs w:val="20"/>
          <w:lang w:val="hr-HR"/>
        </w:rPr>
        <w:t>440</w:t>
      </w:r>
      <w:r w:rsidR="00A8015E" w:rsidRPr="00CE635C">
        <w:rPr>
          <w:szCs w:val="20"/>
          <w:lang w:val="hr-HR"/>
        </w:rPr>
        <w:t>.</w:t>
      </w:r>
      <w:r w:rsidR="009962FF" w:rsidRPr="00CE635C">
        <w:rPr>
          <w:szCs w:val="20"/>
          <w:lang w:val="hr-HR"/>
        </w:rPr>
        <w:t>000</w:t>
      </w:r>
      <w:r w:rsidR="000A63EC">
        <w:rPr>
          <w:szCs w:val="20"/>
          <w:lang w:val="hr-HR"/>
        </w:rPr>
        <w:t>,00</w:t>
      </w:r>
      <w:r w:rsidR="005824CB" w:rsidRPr="00CE635C">
        <w:rPr>
          <w:szCs w:val="20"/>
          <w:lang w:val="hr-HR"/>
        </w:rPr>
        <w:t>€</w:t>
      </w:r>
      <w:r w:rsidRPr="00CE635C">
        <w:rPr>
          <w:szCs w:val="20"/>
          <w:lang w:val="hr-HR"/>
        </w:rPr>
        <w:t xml:space="preserve"> (glavnica: </w:t>
      </w:r>
      <w:r w:rsidR="009962FF" w:rsidRPr="00CE635C">
        <w:rPr>
          <w:szCs w:val="20"/>
          <w:lang w:val="hr-HR"/>
        </w:rPr>
        <w:t>440</w:t>
      </w:r>
      <w:r w:rsidR="00A8015E" w:rsidRPr="00CE635C">
        <w:rPr>
          <w:szCs w:val="20"/>
          <w:lang w:val="hr-HR"/>
        </w:rPr>
        <w:t>.000</w:t>
      </w:r>
      <w:r w:rsidR="000A63EC">
        <w:rPr>
          <w:szCs w:val="20"/>
          <w:lang w:val="hr-HR"/>
        </w:rPr>
        <w:t>,00</w:t>
      </w:r>
      <w:r w:rsidR="006F2C4D" w:rsidRPr="00CE635C">
        <w:rPr>
          <w:szCs w:val="20"/>
          <w:lang w:val="hr-HR"/>
        </w:rPr>
        <w:t>€</w:t>
      </w:r>
      <w:r w:rsidR="009962FF" w:rsidRPr="00CE635C">
        <w:rPr>
          <w:szCs w:val="20"/>
          <w:lang w:val="hr-HR"/>
        </w:rPr>
        <w:t>)</w:t>
      </w:r>
      <w:r w:rsidR="00C51243">
        <w:rPr>
          <w:szCs w:val="20"/>
          <w:lang w:val="hr-HR"/>
        </w:rPr>
        <w:t xml:space="preserve"> – 860.565,20 KM (po tečaju</w:t>
      </w:r>
      <w:r w:rsidR="009A615F">
        <w:rPr>
          <w:szCs w:val="20"/>
          <w:lang w:val="hr-HR"/>
        </w:rPr>
        <w:t xml:space="preserve"> 1</w:t>
      </w:r>
      <w:r w:rsidR="009A615F" w:rsidRPr="00CE635C">
        <w:rPr>
          <w:szCs w:val="20"/>
          <w:lang w:val="hr-HR"/>
        </w:rPr>
        <w:t>€</w:t>
      </w:r>
      <w:r w:rsidR="009A615F">
        <w:rPr>
          <w:szCs w:val="20"/>
          <w:lang w:val="hr-HR"/>
        </w:rPr>
        <w:t>=1,95583 KM)</w:t>
      </w:r>
    </w:p>
    <w:p w14:paraId="6FAC1A11" w14:textId="77777777" w:rsidR="00CA1958" w:rsidRPr="00F17E94" w:rsidRDefault="00CA1958">
      <w:pPr>
        <w:ind w:left="720"/>
        <w:jc w:val="both"/>
        <w:rPr>
          <w:sz w:val="12"/>
          <w:szCs w:val="20"/>
          <w:highlight w:val="yellow"/>
          <w:lang w:val="hr-HR"/>
        </w:rPr>
      </w:pPr>
    </w:p>
    <w:p w14:paraId="3870EFB1" w14:textId="77777777" w:rsidR="00CA1958" w:rsidRPr="000A63EC" w:rsidRDefault="00E11959">
      <w:pPr>
        <w:ind w:left="720" w:hanging="720"/>
        <w:jc w:val="both"/>
        <w:rPr>
          <w:szCs w:val="20"/>
          <w:lang w:val="hr-HR"/>
        </w:rPr>
      </w:pPr>
      <w:r w:rsidRPr="000A63EC">
        <w:rPr>
          <w:lang w:val="hr-HR"/>
        </w:rPr>
        <w:t>2</w:t>
      </w:r>
      <w:r w:rsidR="00CA1958" w:rsidRPr="000A63EC">
        <w:rPr>
          <w:lang w:val="hr-HR"/>
        </w:rPr>
        <w:t xml:space="preserve">). </w:t>
      </w:r>
      <w:r w:rsidR="00CA1958" w:rsidRPr="000A63EC">
        <w:rPr>
          <w:lang w:val="hr-HR"/>
        </w:rPr>
        <w:tab/>
        <w:t xml:space="preserve">Kredit: Export-Import Banka Koreja/EDCF - </w:t>
      </w:r>
      <w:r w:rsidR="00CA1958" w:rsidRPr="000A63EC">
        <w:rPr>
          <w:szCs w:val="20"/>
          <w:lang w:val="hr-HR"/>
        </w:rPr>
        <w:t>Podugovor o zajmu za Projekt Modernizacija bolnica u Bosni i Hercegovini - Faza II</w:t>
      </w:r>
    </w:p>
    <w:p w14:paraId="5FA83A55" w14:textId="77777777" w:rsidR="00CA1958" w:rsidRPr="000A63EC" w:rsidRDefault="00CA1958">
      <w:pPr>
        <w:ind w:left="720"/>
        <w:jc w:val="both"/>
        <w:rPr>
          <w:szCs w:val="20"/>
          <w:lang w:val="hr-HR"/>
        </w:rPr>
      </w:pPr>
      <w:r w:rsidRPr="000A63EC">
        <w:rPr>
          <w:szCs w:val="20"/>
          <w:lang w:val="hr-HR"/>
        </w:rPr>
        <w:t xml:space="preserve">Iznos kredita u originalnoj valuti: 1.003.882.879,00 KRW (korejskih wona) izraženo u USD 880.886,16 (na dan zaključenja ugovora) </w:t>
      </w:r>
    </w:p>
    <w:p w14:paraId="53D2B155" w14:textId="77777777" w:rsidR="00CA1958" w:rsidRPr="000A63EC" w:rsidRDefault="00CA1958">
      <w:pPr>
        <w:ind w:firstLine="720"/>
        <w:jc w:val="both"/>
        <w:rPr>
          <w:szCs w:val="20"/>
          <w:lang w:val="hr-HR"/>
        </w:rPr>
      </w:pPr>
      <w:r w:rsidRPr="000A63EC">
        <w:rPr>
          <w:szCs w:val="20"/>
          <w:lang w:val="hr-HR"/>
        </w:rPr>
        <w:t>Kamatna stopa: 1,50% godišnje</w:t>
      </w:r>
    </w:p>
    <w:p w14:paraId="54E9FDA4" w14:textId="77777777" w:rsidR="00CA1958" w:rsidRPr="000A63EC" w:rsidRDefault="00CA1958">
      <w:pPr>
        <w:ind w:firstLine="720"/>
        <w:jc w:val="both"/>
        <w:rPr>
          <w:szCs w:val="20"/>
          <w:lang w:val="hr-HR"/>
        </w:rPr>
      </w:pPr>
      <w:r w:rsidRPr="000A63EC">
        <w:rPr>
          <w:szCs w:val="20"/>
          <w:lang w:val="hr-HR"/>
        </w:rPr>
        <w:t>Otplata: polugodišnje</w:t>
      </w:r>
    </w:p>
    <w:p w14:paraId="2FB46EC5" w14:textId="77777777" w:rsidR="00CA1958" w:rsidRPr="000A63EC" w:rsidRDefault="00CA1958">
      <w:pPr>
        <w:ind w:left="720"/>
        <w:jc w:val="both"/>
        <w:rPr>
          <w:szCs w:val="20"/>
          <w:lang w:val="hr-HR"/>
        </w:rPr>
      </w:pPr>
      <w:r w:rsidRPr="000A63EC">
        <w:rPr>
          <w:szCs w:val="20"/>
          <w:lang w:val="hr-HR"/>
        </w:rPr>
        <w:t>Razdoblje otplate: glavnica 20.10.2014.-20.04.2031.g. (reprogram: 15.04.2018.-15.10.2034.g.), kamate 20.04.2010.-20.04.2031.g.</w:t>
      </w:r>
    </w:p>
    <w:p w14:paraId="380A4E83" w14:textId="6243B506" w:rsidR="00CA1958" w:rsidRPr="00316CD9" w:rsidRDefault="00CA1958">
      <w:pPr>
        <w:ind w:left="720"/>
        <w:jc w:val="both"/>
        <w:rPr>
          <w:szCs w:val="20"/>
          <w:lang w:val="hr-HR"/>
        </w:rPr>
      </w:pPr>
      <w:r w:rsidRPr="000A63EC">
        <w:rPr>
          <w:szCs w:val="20"/>
          <w:lang w:val="hr-HR"/>
        </w:rPr>
        <w:t xml:space="preserve">Stanje duga u </w:t>
      </w:r>
      <w:r w:rsidR="002B2162" w:rsidRPr="000A63EC">
        <w:rPr>
          <w:szCs w:val="20"/>
          <w:lang w:val="hr-HR"/>
        </w:rPr>
        <w:t>originalnoj valuti</w:t>
      </w:r>
      <w:r w:rsidRPr="000A63EC">
        <w:rPr>
          <w:szCs w:val="20"/>
          <w:lang w:val="hr-HR"/>
        </w:rPr>
        <w:t xml:space="preserve"> (na dan 31.12.</w:t>
      </w:r>
      <w:r w:rsidR="0054163B" w:rsidRPr="000A63EC">
        <w:rPr>
          <w:szCs w:val="20"/>
          <w:lang w:val="hr-HR"/>
        </w:rPr>
        <w:t>2023</w:t>
      </w:r>
      <w:r w:rsidRPr="000A63EC">
        <w:rPr>
          <w:szCs w:val="20"/>
          <w:lang w:val="hr-HR"/>
        </w:rPr>
        <w:t xml:space="preserve">.g.): </w:t>
      </w:r>
      <w:r w:rsidR="009354BF" w:rsidRPr="000A63EC">
        <w:rPr>
          <w:szCs w:val="20"/>
          <w:lang w:val="hr-HR"/>
        </w:rPr>
        <w:t>637</w:t>
      </w:r>
      <w:r w:rsidR="00A8015E" w:rsidRPr="000A63EC">
        <w:rPr>
          <w:szCs w:val="20"/>
          <w:lang w:val="hr-HR"/>
        </w:rPr>
        <w:t>.</w:t>
      </w:r>
      <w:r w:rsidR="009354BF" w:rsidRPr="000A63EC">
        <w:rPr>
          <w:szCs w:val="20"/>
          <w:lang w:val="hr-HR"/>
        </w:rPr>
        <w:t>040</w:t>
      </w:r>
      <w:r w:rsidR="00A8015E" w:rsidRPr="000A63EC">
        <w:rPr>
          <w:szCs w:val="20"/>
          <w:lang w:val="hr-HR"/>
        </w:rPr>
        <w:t>.</w:t>
      </w:r>
      <w:r w:rsidR="009354BF" w:rsidRPr="000A63EC">
        <w:rPr>
          <w:szCs w:val="20"/>
          <w:lang w:val="hr-HR"/>
        </w:rPr>
        <w:t>939</w:t>
      </w:r>
      <w:r w:rsidR="00A8015E" w:rsidRPr="000A63EC">
        <w:rPr>
          <w:szCs w:val="20"/>
          <w:lang w:val="hr-HR"/>
        </w:rPr>
        <w:t>,</w:t>
      </w:r>
      <w:r w:rsidR="009354BF" w:rsidRPr="000A63EC">
        <w:rPr>
          <w:szCs w:val="20"/>
          <w:lang w:val="hr-HR"/>
        </w:rPr>
        <w:t>60</w:t>
      </w:r>
      <w:r w:rsidR="002B2162" w:rsidRPr="000A63EC">
        <w:rPr>
          <w:szCs w:val="20"/>
          <w:lang w:val="hr-HR"/>
        </w:rPr>
        <w:t xml:space="preserve"> KRW</w:t>
      </w:r>
      <w:r w:rsidRPr="000A63EC">
        <w:rPr>
          <w:szCs w:val="20"/>
          <w:lang w:val="hr-HR"/>
        </w:rPr>
        <w:t xml:space="preserve"> (glavnica: </w:t>
      </w:r>
      <w:r w:rsidR="00FE2DDB" w:rsidRPr="000A63EC">
        <w:rPr>
          <w:szCs w:val="20"/>
          <w:lang w:val="hr-HR"/>
        </w:rPr>
        <w:t>590.519.340,60</w:t>
      </w:r>
      <w:r w:rsidR="00A8015E" w:rsidRPr="000A63EC">
        <w:rPr>
          <w:szCs w:val="20"/>
          <w:lang w:val="hr-HR"/>
        </w:rPr>
        <w:t xml:space="preserve"> </w:t>
      </w:r>
      <w:r w:rsidR="002B2162" w:rsidRPr="000A63EC">
        <w:rPr>
          <w:szCs w:val="20"/>
          <w:lang w:val="hr-HR"/>
        </w:rPr>
        <w:t>KRW</w:t>
      </w:r>
      <w:r w:rsidRPr="000A63EC">
        <w:rPr>
          <w:szCs w:val="20"/>
          <w:lang w:val="hr-HR"/>
        </w:rPr>
        <w:t xml:space="preserve">, kamata: </w:t>
      </w:r>
      <w:r w:rsidR="000B596B" w:rsidRPr="000A63EC">
        <w:rPr>
          <w:szCs w:val="20"/>
          <w:lang w:val="hr-HR"/>
        </w:rPr>
        <w:t>46.521.599,00</w:t>
      </w:r>
      <w:r w:rsidR="002B2162" w:rsidRPr="000A63EC">
        <w:rPr>
          <w:szCs w:val="20"/>
          <w:lang w:val="hr-HR"/>
        </w:rPr>
        <w:t xml:space="preserve"> KRW</w:t>
      </w:r>
      <w:r w:rsidR="00D61D5C" w:rsidRPr="000A63EC">
        <w:rPr>
          <w:szCs w:val="20"/>
          <w:lang w:val="hr-HR"/>
        </w:rPr>
        <w:t>) – napomena: kretanje tečaja korejski</w:t>
      </w:r>
      <w:r w:rsidR="00D61D5C" w:rsidRPr="00316CD9">
        <w:rPr>
          <w:szCs w:val="20"/>
          <w:lang w:val="hr-HR"/>
        </w:rPr>
        <w:t xml:space="preserve"> won-kon</w:t>
      </w:r>
      <w:r w:rsidR="00FC643B" w:rsidRPr="00316CD9">
        <w:rPr>
          <w:szCs w:val="20"/>
          <w:lang w:val="hr-HR"/>
        </w:rPr>
        <w:t>vertibilna marka je promjenjivo</w:t>
      </w:r>
      <w:r w:rsidR="00B5200F">
        <w:rPr>
          <w:szCs w:val="20"/>
          <w:lang w:val="hr-HR"/>
        </w:rPr>
        <w:t xml:space="preserve"> i kreće se u rasponu 0,013 KM</w:t>
      </w:r>
      <w:r w:rsidR="004A6C42">
        <w:rPr>
          <w:szCs w:val="20"/>
          <w:lang w:val="hr-HR"/>
        </w:rPr>
        <w:t xml:space="preserve"> do 0,015 KM za 1 KRW</w:t>
      </w:r>
      <w:r w:rsidR="0053701D" w:rsidRPr="00316CD9">
        <w:rPr>
          <w:szCs w:val="20"/>
          <w:lang w:val="hr-HR"/>
        </w:rPr>
        <w:t>.</w:t>
      </w:r>
    </w:p>
    <w:p w14:paraId="7E72D459" w14:textId="77777777" w:rsidR="00962233" w:rsidRPr="00316CD9" w:rsidRDefault="00962233">
      <w:pPr>
        <w:pStyle w:val="Uvuenotijeloteksta"/>
        <w:spacing w:line="240" w:lineRule="auto"/>
        <w:ind w:firstLine="0"/>
      </w:pPr>
    </w:p>
    <w:p w14:paraId="16495598" w14:textId="77777777" w:rsidR="00CA1958" w:rsidRDefault="00CA1958">
      <w:pPr>
        <w:pStyle w:val="Uvuenotijeloteksta"/>
        <w:spacing w:line="240" w:lineRule="auto"/>
        <w:ind w:firstLine="0"/>
      </w:pPr>
    </w:p>
    <w:p w14:paraId="7A310D04" w14:textId="77777777" w:rsidR="00F06812" w:rsidRDefault="00F06812">
      <w:pPr>
        <w:pStyle w:val="Uvuenotijeloteksta"/>
        <w:spacing w:line="240" w:lineRule="auto"/>
        <w:ind w:firstLine="0"/>
      </w:pPr>
    </w:p>
    <w:p w14:paraId="4D984C66" w14:textId="77777777" w:rsidR="00F06812" w:rsidRDefault="00F06812">
      <w:pPr>
        <w:pStyle w:val="Uvuenotijeloteksta"/>
        <w:spacing w:line="240" w:lineRule="auto"/>
        <w:ind w:firstLine="0"/>
      </w:pPr>
    </w:p>
    <w:p w14:paraId="3328BD18" w14:textId="77777777" w:rsidR="00F06812" w:rsidRPr="00316CD9" w:rsidRDefault="00F06812">
      <w:pPr>
        <w:pStyle w:val="Uvuenotijeloteksta"/>
        <w:spacing w:line="240" w:lineRule="auto"/>
        <w:ind w:firstLine="0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19"/>
        <w:gridCol w:w="8564"/>
      </w:tblGrid>
      <w:tr w:rsidR="00CA1958" w:rsidRPr="00316CD9" w14:paraId="33DBC4C9" w14:textId="77777777">
        <w:tc>
          <w:tcPr>
            <w:tcW w:w="828" w:type="dxa"/>
            <w:shd w:val="clear" w:color="auto" w:fill="404040"/>
          </w:tcPr>
          <w:p w14:paraId="1665540E" w14:textId="77777777" w:rsidR="00CA1958" w:rsidRPr="00316CD9" w:rsidRDefault="00CA1958">
            <w:pPr>
              <w:pStyle w:val="Naslov"/>
              <w:rPr>
                <w:color w:val="FFFFFF"/>
              </w:rPr>
            </w:pPr>
            <w:r w:rsidRPr="00316CD9">
              <w:br w:type="page"/>
            </w:r>
            <w:r w:rsidRPr="00316CD9">
              <w:rPr>
                <w:color w:val="FFFFFF"/>
              </w:rPr>
              <w:t>10.</w:t>
            </w:r>
          </w:p>
        </w:tc>
        <w:tc>
          <w:tcPr>
            <w:tcW w:w="8771" w:type="dxa"/>
          </w:tcPr>
          <w:p w14:paraId="48565A87" w14:textId="259000BC" w:rsidR="00CA1958" w:rsidRPr="00316CD9" w:rsidRDefault="00CA1958" w:rsidP="00A8015E">
            <w:pPr>
              <w:pStyle w:val="Naslov"/>
              <w:jc w:val="both"/>
            </w:pPr>
            <w:r w:rsidRPr="00316CD9">
              <w:t xml:space="preserve">STRUKTURA PRORAČUNA ŽUPANIJE POSAVSKE ZA </w:t>
            </w:r>
            <w:r w:rsidR="00F17E94">
              <w:t>2025</w:t>
            </w:r>
            <w:r w:rsidRPr="00316CD9">
              <w:t>. GODINU – UKUPAN FINANCIJSKI REZULTAT</w:t>
            </w:r>
          </w:p>
        </w:tc>
      </w:tr>
    </w:tbl>
    <w:p w14:paraId="11192166" w14:textId="77777777" w:rsidR="00CA1958" w:rsidRPr="00316CD9" w:rsidRDefault="00CA1958">
      <w:pPr>
        <w:pStyle w:val="Uvuenotijeloteksta"/>
        <w:spacing w:line="240" w:lineRule="auto"/>
        <w:ind w:firstLine="0"/>
      </w:pPr>
    </w:p>
    <w:p w14:paraId="0C22F962" w14:textId="328ED6F4" w:rsidR="00CA1958" w:rsidRPr="00316CD9" w:rsidRDefault="00CA1958">
      <w:pPr>
        <w:pStyle w:val="Uvuenotijeloteksta"/>
        <w:spacing w:line="240" w:lineRule="auto"/>
      </w:pPr>
      <w:r w:rsidRPr="00316CD9">
        <w:rPr>
          <w:b/>
        </w:rPr>
        <w:t>Ukupan planirani financijski rezultat</w:t>
      </w:r>
      <w:r w:rsidRPr="00316CD9">
        <w:t xml:space="preserve"> Proračuna Županije Posavske za </w:t>
      </w:r>
      <w:r w:rsidR="00F17E94">
        <w:t>2025</w:t>
      </w:r>
      <w:r w:rsidRPr="00316CD9">
        <w:t xml:space="preserve">. godinu </w:t>
      </w:r>
      <w:r w:rsidR="00A8015E" w:rsidRPr="00316CD9">
        <w:t>iznosi 0 KM.</w:t>
      </w:r>
    </w:p>
    <w:p w14:paraId="34C5E856" w14:textId="77777777" w:rsidR="00CA1958" w:rsidRPr="00316CD9" w:rsidRDefault="00C74E2C">
      <w:pPr>
        <w:pStyle w:val="Uvuenotijeloteksta"/>
        <w:spacing w:line="240" w:lineRule="auto"/>
        <w:ind w:firstLine="0"/>
        <w:jc w:val="center"/>
      </w:pPr>
      <w:r w:rsidRPr="00316CD9">
        <w:rPr>
          <w:noProof/>
          <w:lang w:eastAsia="hr-HR"/>
        </w:rPr>
        <w:drawing>
          <wp:inline distT="0" distB="0" distL="0" distR="0" wp14:anchorId="2A0FD1CF" wp14:editId="28A24EAC">
            <wp:extent cx="3780155" cy="2133600"/>
            <wp:effectExtent l="0" t="0" r="0" b="0"/>
            <wp:docPr id="7" name="Objek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76F0CE0" w14:textId="77777777" w:rsidR="003364AA" w:rsidRPr="00316CD9" w:rsidRDefault="003364AA">
      <w:pPr>
        <w:pStyle w:val="Naslov3"/>
        <w:jc w:val="both"/>
      </w:pPr>
    </w:p>
    <w:p w14:paraId="6A4DBAD9" w14:textId="553476BA" w:rsidR="00CA1958" w:rsidRPr="00316CD9" w:rsidRDefault="00E12ECC">
      <w:pPr>
        <w:pStyle w:val="Naslov3"/>
        <w:jc w:val="both"/>
      </w:pPr>
      <w:r w:rsidRPr="00316CD9">
        <w:t>Domaljevac</w:t>
      </w:r>
      <w:r w:rsidR="001F00ED" w:rsidRPr="00316CD9">
        <w:t xml:space="preserve">, prosinac </w:t>
      </w:r>
      <w:r w:rsidR="00F17E94">
        <w:t>2025</w:t>
      </w:r>
      <w:r w:rsidR="00CA1958" w:rsidRPr="00316CD9">
        <w:t>. godine</w:t>
      </w:r>
    </w:p>
    <w:p w14:paraId="43060FFE" w14:textId="77777777" w:rsidR="00CA1958" w:rsidRPr="00316CD9" w:rsidRDefault="00CA1958">
      <w:pPr>
        <w:pStyle w:val="Naslov1"/>
        <w:jc w:val="both"/>
      </w:pPr>
      <w:r w:rsidRPr="00316CD9">
        <w:t xml:space="preserve">                                                                                                                  </w:t>
      </w:r>
      <w:r w:rsidR="00E12ECC" w:rsidRPr="00316CD9">
        <w:t>S K U P Š T I N A</w:t>
      </w:r>
    </w:p>
    <w:p w14:paraId="5AA05219" w14:textId="77777777" w:rsidR="00CA1958" w:rsidRPr="00316CD9" w:rsidRDefault="00CA1958">
      <w:pPr>
        <w:jc w:val="both"/>
        <w:rPr>
          <w:lang w:val="hr-HR"/>
        </w:rPr>
      </w:pPr>
    </w:p>
    <w:p w14:paraId="537A6638" w14:textId="77777777" w:rsidR="00CA1958" w:rsidRPr="00316CD9" w:rsidRDefault="00CA1958">
      <w:pPr>
        <w:pStyle w:val="Naslov4"/>
        <w:ind w:left="5760"/>
        <w:jc w:val="both"/>
      </w:pPr>
      <w:r w:rsidRPr="00316CD9">
        <w:t xml:space="preserve">                  Županije Posavske</w:t>
      </w:r>
    </w:p>
    <w:p w14:paraId="19B043B8" w14:textId="77777777" w:rsidR="00CA1958" w:rsidRPr="00316CD9" w:rsidRDefault="00CA1958">
      <w:pPr>
        <w:ind w:left="720"/>
        <w:jc w:val="both"/>
        <w:rPr>
          <w:lang w:val="hr-HR"/>
        </w:rPr>
      </w:pPr>
    </w:p>
    <w:sectPr w:rsidR="00CA1958" w:rsidRPr="00316CD9" w:rsidSect="00D2043C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417" w:right="1106" w:bottom="89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1DD3D" w14:textId="77777777" w:rsidR="006B6E6A" w:rsidRDefault="006B6E6A">
      <w:r>
        <w:separator/>
      </w:r>
    </w:p>
  </w:endnote>
  <w:endnote w:type="continuationSeparator" w:id="0">
    <w:p w14:paraId="2C131C19" w14:textId="77777777" w:rsidR="006B6E6A" w:rsidRDefault="006B6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8FD71" w14:textId="77777777" w:rsidR="00700EBB" w:rsidRDefault="00756726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700EB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94FC539" w14:textId="77777777" w:rsidR="00700EBB" w:rsidRDefault="00700EBB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2248D" w14:textId="77777777" w:rsidR="00700EBB" w:rsidRDefault="00700EBB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FFA1C" w14:textId="77777777" w:rsidR="006B6E6A" w:rsidRDefault="006B6E6A">
      <w:r>
        <w:separator/>
      </w:r>
    </w:p>
  </w:footnote>
  <w:footnote w:type="continuationSeparator" w:id="0">
    <w:p w14:paraId="01C77286" w14:textId="77777777" w:rsidR="006B6E6A" w:rsidRDefault="006B6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E7DAC" w14:textId="77777777" w:rsidR="00700EBB" w:rsidRDefault="00756726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700EB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A67FE50" w14:textId="77777777" w:rsidR="00700EBB" w:rsidRDefault="00700EBB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4581E" w14:textId="77777777" w:rsidR="00700EBB" w:rsidRDefault="00756726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700EB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A42B4">
      <w:rPr>
        <w:rStyle w:val="Brojstranice"/>
        <w:noProof/>
      </w:rPr>
      <w:t>17</w:t>
    </w:r>
    <w:r>
      <w:rPr>
        <w:rStyle w:val="Brojstranice"/>
      </w:rPr>
      <w:fldChar w:fldCharType="end"/>
    </w:r>
  </w:p>
  <w:tbl>
    <w:tblPr>
      <w:tblW w:w="0" w:type="auto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025"/>
      <w:gridCol w:w="1358"/>
    </w:tblGrid>
    <w:tr w:rsidR="00700EBB" w14:paraId="3D371F99" w14:textId="77777777">
      <w:tc>
        <w:tcPr>
          <w:tcW w:w="8208" w:type="dxa"/>
        </w:tcPr>
        <w:p w14:paraId="0015346B" w14:textId="6938A345" w:rsidR="00700EBB" w:rsidRDefault="00700EBB" w:rsidP="00C4204A">
          <w:pPr>
            <w:pStyle w:val="Zaglavlje"/>
            <w:ind w:right="360"/>
            <w:rPr>
              <w:b/>
              <w:bCs/>
              <w:i/>
              <w:iCs/>
              <w:sz w:val="22"/>
            </w:rPr>
          </w:pPr>
          <w:r>
            <w:rPr>
              <w:b/>
              <w:bCs/>
              <w:i/>
              <w:iCs/>
              <w:sz w:val="22"/>
            </w:rPr>
            <w:t>Obrazloženje Proračuna Županije Posavske za 202</w:t>
          </w:r>
          <w:r w:rsidR="00A345F7">
            <w:rPr>
              <w:b/>
              <w:bCs/>
              <w:i/>
              <w:iCs/>
              <w:sz w:val="22"/>
            </w:rPr>
            <w:t>5</w:t>
          </w:r>
          <w:r>
            <w:rPr>
              <w:b/>
              <w:bCs/>
              <w:i/>
              <w:iCs/>
              <w:sz w:val="22"/>
            </w:rPr>
            <w:t>. godinu</w:t>
          </w:r>
        </w:p>
      </w:tc>
      <w:tc>
        <w:tcPr>
          <w:tcW w:w="1391" w:type="dxa"/>
          <w:tcBorders>
            <w:bottom w:val="single" w:sz="4" w:space="0" w:color="auto"/>
          </w:tcBorders>
        </w:tcPr>
        <w:p w14:paraId="4888A538" w14:textId="77777777" w:rsidR="00700EBB" w:rsidRDefault="00700EBB">
          <w:pPr>
            <w:pStyle w:val="Zaglavlje"/>
            <w:ind w:right="360"/>
          </w:pPr>
        </w:p>
      </w:tc>
    </w:tr>
  </w:tbl>
  <w:p w14:paraId="06C41849" w14:textId="77777777" w:rsidR="00700EBB" w:rsidRDefault="00700EBB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C3204"/>
    <w:multiLevelType w:val="hybridMultilevel"/>
    <w:tmpl w:val="10808540"/>
    <w:lvl w:ilvl="0" w:tplc="E3D6201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A269C9"/>
    <w:multiLevelType w:val="hybridMultilevel"/>
    <w:tmpl w:val="C12AE3C8"/>
    <w:lvl w:ilvl="0" w:tplc="E3D6201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16F93"/>
    <w:multiLevelType w:val="hybridMultilevel"/>
    <w:tmpl w:val="36E0A076"/>
    <w:lvl w:ilvl="0" w:tplc="E3D620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808DD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82106"/>
    <w:multiLevelType w:val="hybridMultilevel"/>
    <w:tmpl w:val="817279A8"/>
    <w:lvl w:ilvl="0" w:tplc="E3D620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D4785"/>
    <w:multiLevelType w:val="hybridMultilevel"/>
    <w:tmpl w:val="F294CD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259FC"/>
    <w:multiLevelType w:val="multilevel"/>
    <w:tmpl w:val="DD3E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097798"/>
    <w:multiLevelType w:val="hybridMultilevel"/>
    <w:tmpl w:val="2D848C6E"/>
    <w:lvl w:ilvl="0" w:tplc="FFFFFFF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EFE4B0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9A07030"/>
    <w:multiLevelType w:val="hybridMultilevel"/>
    <w:tmpl w:val="4A309FE0"/>
    <w:lvl w:ilvl="0" w:tplc="E3D620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55CFE"/>
    <w:multiLevelType w:val="hybridMultilevel"/>
    <w:tmpl w:val="4D763D7E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9C3EFC"/>
    <w:multiLevelType w:val="hybridMultilevel"/>
    <w:tmpl w:val="2D5EF9D6"/>
    <w:lvl w:ilvl="0" w:tplc="22E2C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88063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67D5F"/>
    <w:multiLevelType w:val="hybridMultilevel"/>
    <w:tmpl w:val="113CB0BE"/>
    <w:lvl w:ilvl="0" w:tplc="E3D620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76092"/>
    <w:multiLevelType w:val="hybridMultilevel"/>
    <w:tmpl w:val="52E2FC5A"/>
    <w:lvl w:ilvl="0" w:tplc="22E2C0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D880630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DD171C"/>
    <w:multiLevelType w:val="hybridMultilevel"/>
    <w:tmpl w:val="67E2D5E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F8348D5"/>
    <w:multiLevelType w:val="hybridMultilevel"/>
    <w:tmpl w:val="E51E306A"/>
    <w:lvl w:ilvl="0" w:tplc="ED56BB4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E1034"/>
    <w:multiLevelType w:val="hybridMultilevel"/>
    <w:tmpl w:val="07D00F20"/>
    <w:lvl w:ilvl="0" w:tplc="150232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9844207">
    <w:abstractNumId w:val="3"/>
  </w:num>
  <w:num w:numId="2" w16cid:durableId="452095295">
    <w:abstractNumId w:val="13"/>
  </w:num>
  <w:num w:numId="3" w16cid:durableId="1436025174">
    <w:abstractNumId w:val="4"/>
  </w:num>
  <w:num w:numId="4" w16cid:durableId="1815641973">
    <w:abstractNumId w:val="2"/>
  </w:num>
  <w:num w:numId="5" w16cid:durableId="1335305933">
    <w:abstractNumId w:val="1"/>
  </w:num>
  <w:num w:numId="6" w16cid:durableId="1507205635">
    <w:abstractNumId w:val="8"/>
  </w:num>
  <w:num w:numId="7" w16cid:durableId="675575588">
    <w:abstractNumId w:val="7"/>
  </w:num>
  <w:num w:numId="8" w16cid:durableId="280308971">
    <w:abstractNumId w:val="11"/>
  </w:num>
  <w:num w:numId="9" w16cid:durableId="586111500">
    <w:abstractNumId w:val="12"/>
  </w:num>
  <w:num w:numId="10" w16cid:durableId="918752728">
    <w:abstractNumId w:val="0"/>
  </w:num>
  <w:num w:numId="11" w16cid:durableId="928386299">
    <w:abstractNumId w:val="10"/>
  </w:num>
  <w:num w:numId="12" w16cid:durableId="1016079033">
    <w:abstractNumId w:val="9"/>
  </w:num>
  <w:num w:numId="13" w16cid:durableId="1968731777">
    <w:abstractNumId w:val="14"/>
  </w:num>
  <w:num w:numId="14" w16cid:durableId="1107774732">
    <w:abstractNumId w:val="6"/>
  </w:num>
  <w:num w:numId="15" w16cid:durableId="198615547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0F"/>
    <w:rsid w:val="00004A1E"/>
    <w:rsid w:val="00006254"/>
    <w:rsid w:val="00007C00"/>
    <w:rsid w:val="000110BC"/>
    <w:rsid w:val="00012805"/>
    <w:rsid w:val="00014E58"/>
    <w:rsid w:val="0002026B"/>
    <w:rsid w:val="00021A5A"/>
    <w:rsid w:val="00022CFF"/>
    <w:rsid w:val="00025D4D"/>
    <w:rsid w:val="00026B04"/>
    <w:rsid w:val="00030BBF"/>
    <w:rsid w:val="00030DF6"/>
    <w:rsid w:val="00031A14"/>
    <w:rsid w:val="00033997"/>
    <w:rsid w:val="0003399C"/>
    <w:rsid w:val="0003576A"/>
    <w:rsid w:val="00035EDC"/>
    <w:rsid w:val="00036BC8"/>
    <w:rsid w:val="00040A2E"/>
    <w:rsid w:val="000447E4"/>
    <w:rsid w:val="0004504D"/>
    <w:rsid w:val="00050240"/>
    <w:rsid w:val="0005591C"/>
    <w:rsid w:val="000571EE"/>
    <w:rsid w:val="00061DDF"/>
    <w:rsid w:val="0006219B"/>
    <w:rsid w:val="000630A6"/>
    <w:rsid w:val="000630AE"/>
    <w:rsid w:val="0006361F"/>
    <w:rsid w:val="0007271D"/>
    <w:rsid w:val="000729F4"/>
    <w:rsid w:val="00077C21"/>
    <w:rsid w:val="00082F7E"/>
    <w:rsid w:val="000836C9"/>
    <w:rsid w:val="0008483D"/>
    <w:rsid w:val="0008549A"/>
    <w:rsid w:val="000855D6"/>
    <w:rsid w:val="00085F9D"/>
    <w:rsid w:val="00090878"/>
    <w:rsid w:val="000916E0"/>
    <w:rsid w:val="000923E8"/>
    <w:rsid w:val="0009319A"/>
    <w:rsid w:val="000A4C3C"/>
    <w:rsid w:val="000A6009"/>
    <w:rsid w:val="000A63EC"/>
    <w:rsid w:val="000A6CC3"/>
    <w:rsid w:val="000A6EB3"/>
    <w:rsid w:val="000B48B8"/>
    <w:rsid w:val="000B596B"/>
    <w:rsid w:val="000B597F"/>
    <w:rsid w:val="000C206D"/>
    <w:rsid w:val="000C269B"/>
    <w:rsid w:val="000C2797"/>
    <w:rsid w:val="000D06F6"/>
    <w:rsid w:val="000D2F2E"/>
    <w:rsid w:val="000D57FE"/>
    <w:rsid w:val="000E071A"/>
    <w:rsid w:val="000E2364"/>
    <w:rsid w:val="000E3F69"/>
    <w:rsid w:val="000E6D5D"/>
    <w:rsid w:val="000E78FA"/>
    <w:rsid w:val="000F240E"/>
    <w:rsid w:val="000F393F"/>
    <w:rsid w:val="000F5B5C"/>
    <w:rsid w:val="000F75A4"/>
    <w:rsid w:val="000F7A2F"/>
    <w:rsid w:val="00100410"/>
    <w:rsid w:val="001065F1"/>
    <w:rsid w:val="0011273A"/>
    <w:rsid w:val="0011282C"/>
    <w:rsid w:val="00113081"/>
    <w:rsid w:val="00117AD2"/>
    <w:rsid w:val="00123C9E"/>
    <w:rsid w:val="00125B56"/>
    <w:rsid w:val="00126FC3"/>
    <w:rsid w:val="001273C6"/>
    <w:rsid w:val="00143D65"/>
    <w:rsid w:val="00143F9D"/>
    <w:rsid w:val="001454FD"/>
    <w:rsid w:val="00146059"/>
    <w:rsid w:val="00153B75"/>
    <w:rsid w:val="00154B40"/>
    <w:rsid w:val="00155E5E"/>
    <w:rsid w:val="001563AA"/>
    <w:rsid w:val="0015714B"/>
    <w:rsid w:val="0015774E"/>
    <w:rsid w:val="00163E89"/>
    <w:rsid w:val="00165227"/>
    <w:rsid w:val="00170DD1"/>
    <w:rsid w:val="001714AE"/>
    <w:rsid w:val="00171771"/>
    <w:rsid w:val="00173848"/>
    <w:rsid w:val="00177809"/>
    <w:rsid w:val="00180431"/>
    <w:rsid w:val="0018516D"/>
    <w:rsid w:val="00193543"/>
    <w:rsid w:val="001963FF"/>
    <w:rsid w:val="001974BC"/>
    <w:rsid w:val="001A3B18"/>
    <w:rsid w:val="001A4B62"/>
    <w:rsid w:val="001A5836"/>
    <w:rsid w:val="001B0261"/>
    <w:rsid w:val="001B1B07"/>
    <w:rsid w:val="001B5FA2"/>
    <w:rsid w:val="001C09B4"/>
    <w:rsid w:val="001C13FE"/>
    <w:rsid w:val="001C1F04"/>
    <w:rsid w:val="001C2D55"/>
    <w:rsid w:val="001C4980"/>
    <w:rsid w:val="001C4D1B"/>
    <w:rsid w:val="001C5382"/>
    <w:rsid w:val="001D1883"/>
    <w:rsid w:val="001D1937"/>
    <w:rsid w:val="001D2928"/>
    <w:rsid w:val="001D4A49"/>
    <w:rsid w:val="001E32E5"/>
    <w:rsid w:val="001E334F"/>
    <w:rsid w:val="001E58B6"/>
    <w:rsid w:val="001E7077"/>
    <w:rsid w:val="001F00ED"/>
    <w:rsid w:val="001F0B85"/>
    <w:rsid w:val="001F21BA"/>
    <w:rsid w:val="001F24A7"/>
    <w:rsid w:val="001F4481"/>
    <w:rsid w:val="001F4836"/>
    <w:rsid w:val="001F521D"/>
    <w:rsid w:val="0020323B"/>
    <w:rsid w:val="002044A9"/>
    <w:rsid w:val="002061F4"/>
    <w:rsid w:val="00206A6C"/>
    <w:rsid w:val="002075AC"/>
    <w:rsid w:val="002078E4"/>
    <w:rsid w:val="00210E4D"/>
    <w:rsid w:val="00213568"/>
    <w:rsid w:val="00220735"/>
    <w:rsid w:val="00223A2B"/>
    <w:rsid w:val="00223BF5"/>
    <w:rsid w:val="00230420"/>
    <w:rsid w:val="002316A0"/>
    <w:rsid w:val="0023233E"/>
    <w:rsid w:val="00235520"/>
    <w:rsid w:val="002360A0"/>
    <w:rsid w:val="00243F3A"/>
    <w:rsid w:val="00244A2A"/>
    <w:rsid w:val="00247893"/>
    <w:rsid w:val="00250DEB"/>
    <w:rsid w:val="00250FEF"/>
    <w:rsid w:val="0025139A"/>
    <w:rsid w:val="002518CD"/>
    <w:rsid w:val="00251C40"/>
    <w:rsid w:val="00252262"/>
    <w:rsid w:val="00252459"/>
    <w:rsid w:val="002554CE"/>
    <w:rsid w:val="00261A03"/>
    <w:rsid w:val="00263E57"/>
    <w:rsid w:val="00265767"/>
    <w:rsid w:val="002701A9"/>
    <w:rsid w:val="0027185F"/>
    <w:rsid w:val="00274793"/>
    <w:rsid w:val="00280A10"/>
    <w:rsid w:val="00281C8C"/>
    <w:rsid w:val="00285E65"/>
    <w:rsid w:val="00291890"/>
    <w:rsid w:val="00293B54"/>
    <w:rsid w:val="002961C3"/>
    <w:rsid w:val="002A0B35"/>
    <w:rsid w:val="002A0DD1"/>
    <w:rsid w:val="002A1A48"/>
    <w:rsid w:val="002A3671"/>
    <w:rsid w:val="002A64A7"/>
    <w:rsid w:val="002B2162"/>
    <w:rsid w:val="002B3D06"/>
    <w:rsid w:val="002B4568"/>
    <w:rsid w:val="002C43CF"/>
    <w:rsid w:val="002C476A"/>
    <w:rsid w:val="002C7528"/>
    <w:rsid w:val="002D4D24"/>
    <w:rsid w:val="002E2E5B"/>
    <w:rsid w:val="002E55BC"/>
    <w:rsid w:val="002E5840"/>
    <w:rsid w:val="00301F27"/>
    <w:rsid w:val="00302AD7"/>
    <w:rsid w:val="00302F1C"/>
    <w:rsid w:val="00303AB7"/>
    <w:rsid w:val="00307389"/>
    <w:rsid w:val="00307743"/>
    <w:rsid w:val="00307865"/>
    <w:rsid w:val="003115D8"/>
    <w:rsid w:val="003124C3"/>
    <w:rsid w:val="00313BE2"/>
    <w:rsid w:val="003153A2"/>
    <w:rsid w:val="00316CD9"/>
    <w:rsid w:val="00317879"/>
    <w:rsid w:val="00320BA1"/>
    <w:rsid w:val="0032106D"/>
    <w:rsid w:val="003214D0"/>
    <w:rsid w:val="003216B8"/>
    <w:rsid w:val="0032328A"/>
    <w:rsid w:val="003252AA"/>
    <w:rsid w:val="003254AF"/>
    <w:rsid w:val="003326F4"/>
    <w:rsid w:val="003344E8"/>
    <w:rsid w:val="003364AA"/>
    <w:rsid w:val="00336BE7"/>
    <w:rsid w:val="00342CD1"/>
    <w:rsid w:val="00352E4F"/>
    <w:rsid w:val="00354BF9"/>
    <w:rsid w:val="003554AA"/>
    <w:rsid w:val="00366120"/>
    <w:rsid w:val="00373EBE"/>
    <w:rsid w:val="003746B9"/>
    <w:rsid w:val="003764DE"/>
    <w:rsid w:val="00380ED7"/>
    <w:rsid w:val="003810A2"/>
    <w:rsid w:val="00382778"/>
    <w:rsid w:val="003829C1"/>
    <w:rsid w:val="00384A43"/>
    <w:rsid w:val="00385D25"/>
    <w:rsid w:val="00394F0F"/>
    <w:rsid w:val="00396B16"/>
    <w:rsid w:val="003A0397"/>
    <w:rsid w:val="003A103E"/>
    <w:rsid w:val="003A3A06"/>
    <w:rsid w:val="003A51A1"/>
    <w:rsid w:val="003B19D7"/>
    <w:rsid w:val="003B3843"/>
    <w:rsid w:val="003B54D0"/>
    <w:rsid w:val="003C081B"/>
    <w:rsid w:val="003C430D"/>
    <w:rsid w:val="003C4C70"/>
    <w:rsid w:val="003D29F6"/>
    <w:rsid w:val="003D2A76"/>
    <w:rsid w:val="003E038E"/>
    <w:rsid w:val="003E0A0E"/>
    <w:rsid w:val="003E10AB"/>
    <w:rsid w:val="003E1457"/>
    <w:rsid w:val="003E3B8B"/>
    <w:rsid w:val="003E514A"/>
    <w:rsid w:val="003E7134"/>
    <w:rsid w:val="003F37F8"/>
    <w:rsid w:val="003F7F1B"/>
    <w:rsid w:val="00401ED8"/>
    <w:rsid w:val="00406976"/>
    <w:rsid w:val="004135C6"/>
    <w:rsid w:val="00414C36"/>
    <w:rsid w:val="00423886"/>
    <w:rsid w:val="00426007"/>
    <w:rsid w:val="00426311"/>
    <w:rsid w:val="00426A43"/>
    <w:rsid w:val="0044164C"/>
    <w:rsid w:val="00441997"/>
    <w:rsid w:val="00445D81"/>
    <w:rsid w:val="0044712A"/>
    <w:rsid w:val="00447257"/>
    <w:rsid w:val="004472E2"/>
    <w:rsid w:val="00452E70"/>
    <w:rsid w:val="00455AE9"/>
    <w:rsid w:val="004606AA"/>
    <w:rsid w:val="004638D4"/>
    <w:rsid w:val="00473AF0"/>
    <w:rsid w:val="004744D1"/>
    <w:rsid w:val="00475E1D"/>
    <w:rsid w:val="00475F23"/>
    <w:rsid w:val="0048125A"/>
    <w:rsid w:val="004831FA"/>
    <w:rsid w:val="00483513"/>
    <w:rsid w:val="00490144"/>
    <w:rsid w:val="0049140C"/>
    <w:rsid w:val="004964CB"/>
    <w:rsid w:val="00497A78"/>
    <w:rsid w:val="004A321B"/>
    <w:rsid w:val="004A4E98"/>
    <w:rsid w:val="004A6C42"/>
    <w:rsid w:val="004A7D86"/>
    <w:rsid w:val="004B0D2C"/>
    <w:rsid w:val="004B182B"/>
    <w:rsid w:val="004B29B2"/>
    <w:rsid w:val="004B2DB5"/>
    <w:rsid w:val="004B73CC"/>
    <w:rsid w:val="004C2E15"/>
    <w:rsid w:val="004C3D03"/>
    <w:rsid w:val="004C6E6A"/>
    <w:rsid w:val="004D24A6"/>
    <w:rsid w:val="004D4D62"/>
    <w:rsid w:val="004E4C66"/>
    <w:rsid w:val="004E4FEA"/>
    <w:rsid w:val="004E7C5B"/>
    <w:rsid w:val="004F1A98"/>
    <w:rsid w:val="004F650B"/>
    <w:rsid w:val="004F68EB"/>
    <w:rsid w:val="00501068"/>
    <w:rsid w:val="00507A57"/>
    <w:rsid w:val="005165EA"/>
    <w:rsid w:val="00521025"/>
    <w:rsid w:val="005217E6"/>
    <w:rsid w:val="00524038"/>
    <w:rsid w:val="00531422"/>
    <w:rsid w:val="0053701D"/>
    <w:rsid w:val="00537291"/>
    <w:rsid w:val="0054163B"/>
    <w:rsid w:val="005429D5"/>
    <w:rsid w:val="00543A29"/>
    <w:rsid w:val="0054530D"/>
    <w:rsid w:val="00550BEA"/>
    <w:rsid w:val="00555A95"/>
    <w:rsid w:val="005574DF"/>
    <w:rsid w:val="005615CC"/>
    <w:rsid w:val="005655B8"/>
    <w:rsid w:val="005779FD"/>
    <w:rsid w:val="00581DC1"/>
    <w:rsid w:val="005824CB"/>
    <w:rsid w:val="005832FA"/>
    <w:rsid w:val="00584551"/>
    <w:rsid w:val="00584F35"/>
    <w:rsid w:val="00585EF5"/>
    <w:rsid w:val="00592A12"/>
    <w:rsid w:val="005959EC"/>
    <w:rsid w:val="005A09AF"/>
    <w:rsid w:val="005A1604"/>
    <w:rsid w:val="005A366D"/>
    <w:rsid w:val="005A778B"/>
    <w:rsid w:val="005B0843"/>
    <w:rsid w:val="005B1C6A"/>
    <w:rsid w:val="005B581F"/>
    <w:rsid w:val="005B7E52"/>
    <w:rsid w:val="005C0312"/>
    <w:rsid w:val="005C5910"/>
    <w:rsid w:val="005D22CC"/>
    <w:rsid w:val="005E0623"/>
    <w:rsid w:val="005E0D8D"/>
    <w:rsid w:val="005E3211"/>
    <w:rsid w:val="005E3260"/>
    <w:rsid w:val="005E5287"/>
    <w:rsid w:val="005F1691"/>
    <w:rsid w:val="005F4DDB"/>
    <w:rsid w:val="0060280C"/>
    <w:rsid w:val="0060425E"/>
    <w:rsid w:val="0060520A"/>
    <w:rsid w:val="00612111"/>
    <w:rsid w:val="00625850"/>
    <w:rsid w:val="0062597A"/>
    <w:rsid w:val="0063014E"/>
    <w:rsid w:val="00630DCE"/>
    <w:rsid w:val="00632221"/>
    <w:rsid w:val="006337CC"/>
    <w:rsid w:val="00636FAD"/>
    <w:rsid w:val="00640DC7"/>
    <w:rsid w:val="0064606E"/>
    <w:rsid w:val="00650CDA"/>
    <w:rsid w:val="00650E0F"/>
    <w:rsid w:val="006542AF"/>
    <w:rsid w:val="00662FCC"/>
    <w:rsid w:val="00664454"/>
    <w:rsid w:val="0066485C"/>
    <w:rsid w:val="00665FC6"/>
    <w:rsid w:val="0067020D"/>
    <w:rsid w:val="00674DC9"/>
    <w:rsid w:val="006750C4"/>
    <w:rsid w:val="00682368"/>
    <w:rsid w:val="006902D8"/>
    <w:rsid w:val="00695289"/>
    <w:rsid w:val="00695985"/>
    <w:rsid w:val="00696EBA"/>
    <w:rsid w:val="006A65DB"/>
    <w:rsid w:val="006B5AA0"/>
    <w:rsid w:val="006B6E6A"/>
    <w:rsid w:val="006C41F2"/>
    <w:rsid w:val="006C4CEC"/>
    <w:rsid w:val="006D2417"/>
    <w:rsid w:val="006D3E79"/>
    <w:rsid w:val="006D5AAF"/>
    <w:rsid w:val="006E23A5"/>
    <w:rsid w:val="006E2716"/>
    <w:rsid w:val="006E685E"/>
    <w:rsid w:val="006E6A66"/>
    <w:rsid w:val="006F2C4D"/>
    <w:rsid w:val="00700EBB"/>
    <w:rsid w:val="00701530"/>
    <w:rsid w:val="00701CDA"/>
    <w:rsid w:val="0070405A"/>
    <w:rsid w:val="00707229"/>
    <w:rsid w:val="0071101C"/>
    <w:rsid w:val="0071255B"/>
    <w:rsid w:val="007131D0"/>
    <w:rsid w:val="00721D33"/>
    <w:rsid w:val="007226D1"/>
    <w:rsid w:val="00722C0C"/>
    <w:rsid w:val="00732B4B"/>
    <w:rsid w:val="00733C81"/>
    <w:rsid w:val="00735D2E"/>
    <w:rsid w:val="007374E1"/>
    <w:rsid w:val="0074140C"/>
    <w:rsid w:val="00751B6B"/>
    <w:rsid w:val="00753345"/>
    <w:rsid w:val="007546E8"/>
    <w:rsid w:val="00755D4B"/>
    <w:rsid w:val="0075636F"/>
    <w:rsid w:val="00756726"/>
    <w:rsid w:val="00756E4A"/>
    <w:rsid w:val="007570B5"/>
    <w:rsid w:val="0076240F"/>
    <w:rsid w:val="007806AD"/>
    <w:rsid w:val="007812EA"/>
    <w:rsid w:val="00782640"/>
    <w:rsid w:val="00790413"/>
    <w:rsid w:val="00790AF5"/>
    <w:rsid w:val="007922E5"/>
    <w:rsid w:val="007945AA"/>
    <w:rsid w:val="007956B0"/>
    <w:rsid w:val="007956F6"/>
    <w:rsid w:val="007A4073"/>
    <w:rsid w:val="007A71FA"/>
    <w:rsid w:val="007B2055"/>
    <w:rsid w:val="007B5D39"/>
    <w:rsid w:val="007C0B93"/>
    <w:rsid w:val="007C36A6"/>
    <w:rsid w:val="007D4582"/>
    <w:rsid w:val="007D49FA"/>
    <w:rsid w:val="007D6908"/>
    <w:rsid w:val="007D6A5B"/>
    <w:rsid w:val="007E3461"/>
    <w:rsid w:val="007E4E3B"/>
    <w:rsid w:val="007E623B"/>
    <w:rsid w:val="007E7A31"/>
    <w:rsid w:val="007F033D"/>
    <w:rsid w:val="007F153D"/>
    <w:rsid w:val="007F7021"/>
    <w:rsid w:val="007F7168"/>
    <w:rsid w:val="007F7804"/>
    <w:rsid w:val="008008FB"/>
    <w:rsid w:val="008013D7"/>
    <w:rsid w:val="008114DF"/>
    <w:rsid w:val="008165C6"/>
    <w:rsid w:val="00821FCC"/>
    <w:rsid w:val="008242A7"/>
    <w:rsid w:val="008317F9"/>
    <w:rsid w:val="0083585D"/>
    <w:rsid w:val="00837207"/>
    <w:rsid w:val="0084351D"/>
    <w:rsid w:val="0084354F"/>
    <w:rsid w:val="00845D6A"/>
    <w:rsid w:val="008477ED"/>
    <w:rsid w:val="00852770"/>
    <w:rsid w:val="00856BD6"/>
    <w:rsid w:val="008644EF"/>
    <w:rsid w:val="0086488C"/>
    <w:rsid w:val="00865973"/>
    <w:rsid w:val="008705C3"/>
    <w:rsid w:val="00870AA9"/>
    <w:rsid w:val="00871BA8"/>
    <w:rsid w:val="00873694"/>
    <w:rsid w:val="00876C40"/>
    <w:rsid w:val="008770BA"/>
    <w:rsid w:val="008774C9"/>
    <w:rsid w:val="00881806"/>
    <w:rsid w:val="008827FD"/>
    <w:rsid w:val="00883A4C"/>
    <w:rsid w:val="008874C8"/>
    <w:rsid w:val="0089165F"/>
    <w:rsid w:val="00892FB4"/>
    <w:rsid w:val="00894257"/>
    <w:rsid w:val="008972C0"/>
    <w:rsid w:val="00897F64"/>
    <w:rsid w:val="008A2D01"/>
    <w:rsid w:val="008A3208"/>
    <w:rsid w:val="008A326F"/>
    <w:rsid w:val="008A38D0"/>
    <w:rsid w:val="008A3D98"/>
    <w:rsid w:val="008A43E4"/>
    <w:rsid w:val="008A5B40"/>
    <w:rsid w:val="008B4340"/>
    <w:rsid w:val="008C54B8"/>
    <w:rsid w:val="008C5F4B"/>
    <w:rsid w:val="008D0A68"/>
    <w:rsid w:val="008D2913"/>
    <w:rsid w:val="008D3B7B"/>
    <w:rsid w:val="008D485E"/>
    <w:rsid w:val="008D56E6"/>
    <w:rsid w:val="008D6BCC"/>
    <w:rsid w:val="008E6C02"/>
    <w:rsid w:val="008F50F9"/>
    <w:rsid w:val="008F5B54"/>
    <w:rsid w:val="009013A1"/>
    <w:rsid w:val="00901680"/>
    <w:rsid w:val="00906E24"/>
    <w:rsid w:val="00915439"/>
    <w:rsid w:val="00917FAE"/>
    <w:rsid w:val="009201CF"/>
    <w:rsid w:val="00920686"/>
    <w:rsid w:val="00922519"/>
    <w:rsid w:val="0093124C"/>
    <w:rsid w:val="00931428"/>
    <w:rsid w:val="00931AC1"/>
    <w:rsid w:val="0093486A"/>
    <w:rsid w:val="009354BF"/>
    <w:rsid w:val="009369F5"/>
    <w:rsid w:val="00937634"/>
    <w:rsid w:val="00941E4E"/>
    <w:rsid w:val="00942610"/>
    <w:rsid w:val="00942787"/>
    <w:rsid w:val="00945643"/>
    <w:rsid w:val="0094617B"/>
    <w:rsid w:val="00947CDD"/>
    <w:rsid w:val="00954C60"/>
    <w:rsid w:val="00955443"/>
    <w:rsid w:val="00961589"/>
    <w:rsid w:val="00962233"/>
    <w:rsid w:val="00963F44"/>
    <w:rsid w:val="009679C3"/>
    <w:rsid w:val="0097023A"/>
    <w:rsid w:val="009754FD"/>
    <w:rsid w:val="00980A32"/>
    <w:rsid w:val="00987B94"/>
    <w:rsid w:val="00991536"/>
    <w:rsid w:val="00995742"/>
    <w:rsid w:val="00996282"/>
    <w:rsid w:val="009962FF"/>
    <w:rsid w:val="009A615F"/>
    <w:rsid w:val="009A77E6"/>
    <w:rsid w:val="009B0278"/>
    <w:rsid w:val="009B0B20"/>
    <w:rsid w:val="009B2CC2"/>
    <w:rsid w:val="009B5812"/>
    <w:rsid w:val="009B6A12"/>
    <w:rsid w:val="009B6E1E"/>
    <w:rsid w:val="009C3F4C"/>
    <w:rsid w:val="009C742B"/>
    <w:rsid w:val="009C756E"/>
    <w:rsid w:val="009D06B3"/>
    <w:rsid w:val="009D4A83"/>
    <w:rsid w:val="009D654F"/>
    <w:rsid w:val="009D7617"/>
    <w:rsid w:val="009E58B2"/>
    <w:rsid w:val="009E7A1B"/>
    <w:rsid w:val="009F5C5A"/>
    <w:rsid w:val="009F6E84"/>
    <w:rsid w:val="009F790A"/>
    <w:rsid w:val="00A0083B"/>
    <w:rsid w:val="00A00D2B"/>
    <w:rsid w:val="00A0491F"/>
    <w:rsid w:val="00A04AD6"/>
    <w:rsid w:val="00A05984"/>
    <w:rsid w:val="00A06AE0"/>
    <w:rsid w:val="00A07E9D"/>
    <w:rsid w:val="00A07EBC"/>
    <w:rsid w:val="00A12E5A"/>
    <w:rsid w:val="00A17255"/>
    <w:rsid w:val="00A20491"/>
    <w:rsid w:val="00A25806"/>
    <w:rsid w:val="00A2620C"/>
    <w:rsid w:val="00A305F9"/>
    <w:rsid w:val="00A30A9E"/>
    <w:rsid w:val="00A32137"/>
    <w:rsid w:val="00A32228"/>
    <w:rsid w:val="00A345F7"/>
    <w:rsid w:val="00A3585A"/>
    <w:rsid w:val="00A4397B"/>
    <w:rsid w:val="00A46608"/>
    <w:rsid w:val="00A52EAB"/>
    <w:rsid w:val="00A5464E"/>
    <w:rsid w:val="00A603CF"/>
    <w:rsid w:val="00A607C9"/>
    <w:rsid w:val="00A62483"/>
    <w:rsid w:val="00A633BF"/>
    <w:rsid w:val="00A63BBB"/>
    <w:rsid w:val="00A65739"/>
    <w:rsid w:val="00A66BD5"/>
    <w:rsid w:val="00A7072F"/>
    <w:rsid w:val="00A70904"/>
    <w:rsid w:val="00A741E9"/>
    <w:rsid w:val="00A8015E"/>
    <w:rsid w:val="00A80C10"/>
    <w:rsid w:val="00A80CE3"/>
    <w:rsid w:val="00A84073"/>
    <w:rsid w:val="00A9002F"/>
    <w:rsid w:val="00A91B33"/>
    <w:rsid w:val="00AA29B3"/>
    <w:rsid w:val="00AA63C2"/>
    <w:rsid w:val="00AA6780"/>
    <w:rsid w:val="00AA77FB"/>
    <w:rsid w:val="00AA7CE2"/>
    <w:rsid w:val="00AB0AA1"/>
    <w:rsid w:val="00AB1F01"/>
    <w:rsid w:val="00AB370A"/>
    <w:rsid w:val="00AC0447"/>
    <w:rsid w:val="00AD2A06"/>
    <w:rsid w:val="00AD663B"/>
    <w:rsid w:val="00AD6948"/>
    <w:rsid w:val="00AD7B8F"/>
    <w:rsid w:val="00AE0D07"/>
    <w:rsid w:val="00AE275F"/>
    <w:rsid w:val="00AE29C7"/>
    <w:rsid w:val="00AE2F7C"/>
    <w:rsid w:val="00AE3AE5"/>
    <w:rsid w:val="00AE417A"/>
    <w:rsid w:val="00AE5749"/>
    <w:rsid w:val="00AE5AFD"/>
    <w:rsid w:val="00AE5E7C"/>
    <w:rsid w:val="00AE715F"/>
    <w:rsid w:val="00AF5651"/>
    <w:rsid w:val="00B0096F"/>
    <w:rsid w:val="00B01AEB"/>
    <w:rsid w:val="00B02068"/>
    <w:rsid w:val="00B049AD"/>
    <w:rsid w:val="00B0559F"/>
    <w:rsid w:val="00B26F3E"/>
    <w:rsid w:val="00B30FCF"/>
    <w:rsid w:val="00B33854"/>
    <w:rsid w:val="00B36652"/>
    <w:rsid w:val="00B4075B"/>
    <w:rsid w:val="00B42E08"/>
    <w:rsid w:val="00B44FB2"/>
    <w:rsid w:val="00B5105A"/>
    <w:rsid w:val="00B5111A"/>
    <w:rsid w:val="00B512D8"/>
    <w:rsid w:val="00B5200F"/>
    <w:rsid w:val="00B5250D"/>
    <w:rsid w:val="00B54579"/>
    <w:rsid w:val="00B56D05"/>
    <w:rsid w:val="00B60498"/>
    <w:rsid w:val="00B609E1"/>
    <w:rsid w:val="00B613A5"/>
    <w:rsid w:val="00B73F96"/>
    <w:rsid w:val="00B77A79"/>
    <w:rsid w:val="00B80558"/>
    <w:rsid w:val="00B809ED"/>
    <w:rsid w:val="00B810FC"/>
    <w:rsid w:val="00B816FB"/>
    <w:rsid w:val="00B82E60"/>
    <w:rsid w:val="00B851CF"/>
    <w:rsid w:val="00B91AB6"/>
    <w:rsid w:val="00B942FA"/>
    <w:rsid w:val="00B95938"/>
    <w:rsid w:val="00B9644C"/>
    <w:rsid w:val="00BA1A70"/>
    <w:rsid w:val="00BA1FA0"/>
    <w:rsid w:val="00BA3257"/>
    <w:rsid w:val="00BA464E"/>
    <w:rsid w:val="00BA62D8"/>
    <w:rsid w:val="00BB05E3"/>
    <w:rsid w:val="00BB3F84"/>
    <w:rsid w:val="00BB5C5D"/>
    <w:rsid w:val="00BC4EA7"/>
    <w:rsid w:val="00BC5360"/>
    <w:rsid w:val="00BD0363"/>
    <w:rsid w:val="00BD16FE"/>
    <w:rsid w:val="00BD1867"/>
    <w:rsid w:val="00BD4464"/>
    <w:rsid w:val="00BD4F66"/>
    <w:rsid w:val="00BD5CAC"/>
    <w:rsid w:val="00BD5D8C"/>
    <w:rsid w:val="00BE0953"/>
    <w:rsid w:val="00BE2A18"/>
    <w:rsid w:val="00BE32B0"/>
    <w:rsid w:val="00BE40A2"/>
    <w:rsid w:val="00BE47F2"/>
    <w:rsid w:val="00BF32BD"/>
    <w:rsid w:val="00BF382C"/>
    <w:rsid w:val="00BF7DA2"/>
    <w:rsid w:val="00C02261"/>
    <w:rsid w:val="00C0235D"/>
    <w:rsid w:val="00C023AD"/>
    <w:rsid w:val="00C035DC"/>
    <w:rsid w:val="00C13E2B"/>
    <w:rsid w:val="00C13F81"/>
    <w:rsid w:val="00C14099"/>
    <w:rsid w:val="00C21DC3"/>
    <w:rsid w:val="00C22696"/>
    <w:rsid w:val="00C27D3E"/>
    <w:rsid w:val="00C377AF"/>
    <w:rsid w:val="00C40205"/>
    <w:rsid w:val="00C4204A"/>
    <w:rsid w:val="00C46C09"/>
    <w:rsid w:val="00C51243"/>
    <w:rsid w:val="00C53349"/>
    <w:rsid w:val="00C652D8"/>
    <w:rsid w:val="00C71D96"/>
    <w:rsid w:val="00C74E2C"/>
    <w:rsid w:val="00C756C2"/>
    <w:rsid w:val="00C76DC5"/>
    <w:rsid w:val="00C800F3"/>
    <w:rsid w:val="00C80734"/>
    <w:rsid w:val="00C81BE1"/>
    <w:rsid w:val="00C86691"/>
    <w:rsid w:val="00C91870"/>
    <w:rsid w:val="00C9288D"/>
    <w:rsid w:val="00C93E47"/>
    <w:rsid w:val="00C96C45"/>
    <w:rsid w:val="00CA1408"/>
    <w:rsid w:val="00CA18D5"/>
    <w:rsid w:val="00CA1958"/>
    <w:rsid w:val="00CA5BF3"/>
    <w:rsid w:val="00CA7347"/>
    <w:rsid w:val="00CA7430"/>
    <w:rsid w:val="00CB3BB7"/>
    <w:rsid w:val="00CB40EA"/>
    <w:rsid w:val="00CB438F"/>
    <w:rsid w:val="00CB7205"/>
    <w:rsid w:val="00CB7E3A"/>
    <w:rsid w:val="00CC184E"/>
    <w:rsid w:val="00CC2F2B"/>
    <w:rsid w:val="00CC4A55"/>
    <w:rsid w:val="00CC63F7"/>
    <w:rsid w:val="00CD0BAC"/>
    <w:rsid w:val="00CD1276"/>
    <w:rsid w:val="00CD22B9"/>
    <w:rsid w:val="00CE2FEF"/>
    <w:rsid w:val="00CE516D"/>
    <w:rsid w:val="00CE635C"/>
    <w:rsid w:val="00CE6977"/>
    <w:rsid w:val="00CF18D2"/>
    <w:rsid w:val="00D04691"/>
    <w:rsid w:val="00D05359"/>
    <w:rsid w:val="00D2043C"/>
    <w:rsid w:val="00D2119E"/>
    <w:rsid w:val="00D21991"/>
    <w:rsid w:val="00D24A39"/>
    <w:rsid w:val="00D25AF4"/>
    <w:rsid w:val="00D25EE9"/>
    <w:rsid w:val="00D30996"/>
    <w:rsid w:val="00D35064"/>
    <w:rsid w:val="00D43140"/>
    <w:rsid w:val="00D43372"/>
    <w:rsid w:val="00D44BA0"/>
    <w:rsid w:val="00D45368"/>
    <w:rsid w:val="00D45F19"/>
    <w:rsid w:val="00D4721D"/>
    <w:rsid w:val="00D50C48"/>
    <w:rsid w:val="00D50FB2"/>
    <w:rsid w:val="00D512E0"/>
    <w:rsid w:val="00D51725"/>
    <w:rsid w:val="00D52071"/>
    <w:rsid w:val="00D530F3"/>
    <w:rsid w:val="00D61A51"/>
    <w:rsid w:val="00D61D5C"/>
    <w:rsid w:val="00D63CAD"/>
    <w:rsid w:val="00D63FFB"/>
    <w:rsid w:val="00D6493C"/>
    <w:rsid w:val="00D6642D"/>
    <w:rsid w:val="00D66805"/>
    <w:rsid w:val="00D66F67"/>
    <w:rsid w:val="00D677E6"/>
    <w:rsid w:val="00D7126A"/>
    <w:rsid w:val="00D7495A"/>
    <w:rsid w:val="00D80A20"/>
    <w:rsid w:val="00D85F26"/>
    <w:rsid w:val="00D8716F"/>
    <w:rsid w:val="00D92190"/>
    <w:rsid w:val="00D93080"/>
    <w:rsid w:val="00DB30E4"/>
    <w:rsid w:val="00DB32FF"/>
    <w:rsid w:val="00DB6C7B"/>
    <w:rsid w:val="00DB6E14"/>
    <w:rsid w:val="00DB6EC0"/>
    <w:rsid w:val="00DB75CB"/>
    <w:rsid w:val="00DC13BC"/>
    <w:rsid w:val="00DC2672"/>
    <w:rsid w:val="00DD22C4"/>
    <w:rsid w:val="00DD74F2"/>
    <w:rsid w:val="00DF16F6"/>
    <w:rsid w:val="00DF4164"/>
    <w:rsid w:val="00DF431E"/>
    <w:rsid w:val="00DF4340"/>
    <w:rsid w:val="00DF5651"/>
    <w:rsid w:val="00E01A6C"/>
    <w:rsid w:val="00E03DE4"/>
    <w:rsid w:val="00E0551C"/>
    <w:rsid w:val="00E11959"/>
    <w:rsid w:val="00E12ECC"/>
    <w:rsid w:val="00E15176"/>
    <w:rsid w:val="00E23612"/>
    <w:rsid w:val="00E30DB7"/>
    <w:rsid w:val="00E31131"/>
    <w:rsid w:val="00E376E7"/>
    <w:rsid w:val="00E402E4"/>
    <w:rsid w:val="00E40EB4"/>
    <w:rsid w:val="00E46C75"/>
    <w:rsid w:val="00E46CD1"/>
    <w:rsid w:val="00E47301"/>
    <w:rsid w:val="00E473A2"/>
    <w:rsid w:val="00E539D9"/>
    <w:rsid w:val="00E6382B"/>
    <w:rsid w:val="00E63BCC"/>
    <w:rsid w:val="00E66966"/>
    <w:rsid w:val="00E671B0"/>
    <w:rsid w:val="00E67C6D"/>
    <w:rsid w:val="00E70F99"/>
    <w:rsid w:val="00E75002"/>
    <w:rsid w:val="00E843D3"/>
    <w:rsid w:val="00E851AC"/>
    <w:rsid w:val="00E87DB7"/>
    <w:rsid w:val="00E924C2"/>
    <w:rsid w:val="00E94494"/>
    <w:rsid w:val="00E948C6"/>
    <w:rsid w:val="00EA07B7"/>
    <w:rsid w:val="00EA1F46"/>
    <w:rsid w:val="00EA3520"/>
    <w:rsid w:val="00EA42B4"/>
    <w:rsid w:val="00EB16B7"/>
    <w:rsid w:val="00EB215B"/>
    <w:rsid w:val="00EB406D"/>
    <w:rsid w:val="00EB76E5"/>
    <w:rsid w:val="00EC010D"/>
    <w:rsid w:val="00EC07F9"/>
    <w:rsid w:val="00EC1ADA"/>
    <w:rsid w:val="00EC2978"/>
    <w:rsid w:val="00EC67E3"/>
    <w:rsid w:val="00EC716E"/>
    <w:rsid w:val="00ED1621"/>
    <w:rsid w:val="00ED3365"/>
    <w:rsid w:val="00ED39C3"/>
    <w:rsid w:val="00ED5484"/>
    <w:rsid w:val="00EF596A"/>
    <w:rsid w:val="00F003CF"/>
    <w:rsid w:val="00F01895"/>
    <w:rsid w:val="00F026AF"/>
    <w:rsid w:val="00F02A5F"/>
    <w:rsid w:val="00F03A58"/>
    <w:rsid w:val="00F06812"/>
    <w:rsid w:val="00F104A5"/>
    <w:rsid w:val="00F108FB"/>
    <w:rsid w:val="00F120C5"/>
    <w:rsid w:val="00F17CC9"/>
    <w:rsid w:val="00F17E94"/>
    <w:rsid w:val="00F17FD4"/>
    <w:rsid w:val="00F2295C"/>
    <w:rsid w:val="00F23356"/>
    <w:rsid w:val="00F24EE0"/>
    <w:rsid w:val="00F2770F"/>
    <w:rsid w:val="00F27815"/>
    <w:rsid w:val="00F30167"/>
    <w:rsid w:val="00F33ABA"/>
    <w:rsid w:val="00F34FD2"/>
    <w:rsid w:val="00F354BB"/>
    <w:rsid w:val="00F363D4"/>
    <w:rsid w:val="00F36EB0"/>
    <w:rsid w:val="00F4788B"/>
    <w:rsid w:val="00F523D3"/>
    <w:rsid w:val="00F67DB4"/>
    <w:rsid w:val="00F75185"/>
    <w:rsid w:val="00F80261"/>
    <w:rsid w:val="00F97354"/>
    <w:rsid w:val="00FA12E4"/>
    <w:rsid w:val="00FA161B"/>
    <w:rsid w:val="00FA1BD3"/>
    <w:rsid w:val="00FB0E12"/>
    <w:rsid w:val="00FB12DC"/>
    <w:rsid w:val="00FB659B"/>
    <w:rsid w:val="00FB72B5"/>
    <w:rsid w:val="00FC0B0A"/>
    <w:rsid w:val="00FC34C3"/>
    <w:rsid w:val="00FC643B"/>
    <w:rsid w:val="00FC6769"/>
    <w:rsid w:val="00FC6C7A"/>
    <w:rsid w:val="00FC7E59"/>
    <w:rsid w:val="00FD57B0"/>
    <w:rsid w:val="00FD676C"/>
    <w:rsid w:val="00FD7643"/>
    <w:rsid w:val="00FE25B1"/>
    <w:rsid w:val="00FE2DDB"/>
    <w:rsid w:val="00FE3023"/>
    <w:rsid w:val="00FE3817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4443A"/>
  <w15:docId w15:val="{CC092BE4-7D66-47AF-AE5D-28B1FED3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43C"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rsid w:val="00D2043C"/>
    <w:pPr>
      <w:keepNext/>
      <w:jc w:val="center"/>
      <w:outlineLvl w:val="0"/>
    </w:pPr>
    <w:rPr>
      <w:b/>
      <w:bCs/>
      <w:lang w:val="hr-HR"/>
    </w:rPr>
  </w:style>
  <w:style w:type="paragraph" w:styleId="Naslov2">
    <w:name w:val="heading 2"/>
    <w:basedOn w:val="Normal"/>
    <w:next w:val="Normal"/>
    <w:qFormat/>
    <w:rsid w:val="00D2043C"/>
    <w:pPr>
      <w:keepNext/>
      <w:outlineLvl w:val="1"/>
    </w:pPr>
    <w:rPr>
      <w:b/>
      <w:bCs/>
      <w:sz w:val="28"/>
      <w:lang w:val="hr-HR"/>
    </w:rPr>
  </w:style>
  <w:style w:type="paragraph" w:styleId="Naslov3">
    <w:name w:val="heading 3"/>
    <w:basedOn w:val="Normal"/>
    <w:next w:val="Normal"/>
    <w:qFormat/>
    <w:rsid w:val="00D2043C"/>
    <w:pPr>
      <w:keepNext/>
      <w:outlineLvl w:val="2"/>
    </w:pPr>
    <w:rPr>
      <w:b/>
      <w:bCs/>
      <w:lang w:val="hr-HR"/>
    </w:rPr>
  </w:style>
  <w:style w:type="paragraph" w:styleId="Naslov4">
    <w:name w:val="heading 4"/>
    <w:basedOn w:val="Normal"/>
    <w:next w:val="Normal"/>
    <w:qFormat/>
    <w:rsid w:val="00D2043C"/>
    <w:pPr>
      <w:keepNext/>
      <w:jc w:val="right"/>
      <w:outlineLvl w:val="3"/>
    </w:pPr>
    <w:rPr>
      <w:b/>
      <w:bCs/>
      <w:lang w:val="hr-HR"/>
    </w:rPr>
  </w:style>
  <w:style w:type="paragraph" w:styleId="Naslov5">
    <w:name w:val="heading 5"/>
    <w:basedOn w:val="Normal"/>
    <w:next w:val="Normal"/>
    <w:qFormat/>
    <w:rsid w:val="00D2043C"/>
    <w:pPr>
      <w:keepNext/>
      <w:spacing w:line="360" w:lineRule="auto"/>
      <w:ind w:firstLine="720"/>
      <w:jc w:val="both"/>
      <w:outlineLvl w:val="4"/>
    </w:pPr>
    <w:rPr>
      <w:b/>
      <w:bCs/>
      <w:lang w:val="hr-HR"/>
    </w:rPr>
  </w:style>
  <w:style w:type="paragraph" w:styleId="Naslov6">
    <w:name w:val="heading 6"/>
    <w:basedOn w:val="Normal"/>
    <w:next w:val="Normal"/>
    <w:qFormat/>
    <w:rsid w:val="00D2043C"/>
    <w:pPr>
      <w:keepNext/>
      <w:spacing w:line="360" w:lineRule="auto"/>
      <w:ind w:left="360"/>
      <w:jc w:val="both"/>
      <w:outlineLvl w:val="5"/>
    </w:pPr>
    <w:rPr>
      <w:b/>
      <w:bCs/>
      <w:lang w:val="hr-HR"/>
    </w:rPr>
  </w:style>
  <w:style w:type="paragraph" w:styleId="Naslov7">
    <w:name w:val="heading 7"/>
    <w:basedOn w:val="Normal"/>
    <w:next w:val="Normal"/>
    <w:qFormat/>
    <w:rsid w:val="00D2043C"/>
    <w:pPr>
      <w:keepNext/>
      <w:spacing w:line="360" w:lineRule="auto"/>
      <w:jc w:val="both"/>
      <w:outlineLvl w:val="6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rsid w:val="00D2043C"/>
    <w:rPr>
      <w:b/>
      <w:bCs/>
      <w:sz w:val="24"/>
      <w:szCs w:val="24"/>
      <w:lang w:val="hr-HR" w:eastAsia="en-US"/>
    </w:rPr>
  </w:style>
  <w:style w:type="character" w:customStyle="1" w:styleId="Naslov2Char">
    <w:name w:val="Naslov 2 Char"/>
    <w:rsid w:val="00D2043C"/>
    <w:rPr>
      <w:b/>
      <w:bCs/>
      <w:sz w:val="28"/>
      <w:szCs w:val="24"/>
      <w:lang w:val="hr-HR" w:eastAsia="en-US"/>
    </w:rPr>
  </w:style>
  <w:style w:type="character" w:customStyle="1" w:styleId="Naslov3Char">
    <w:name w:val="Naslov 3 Char"/>
    <w:rsid w:val="00D2043C"/>
    <w:rPr>
      <w:b/>
      <w:bCs/>
      <w:sz w:val="24"/>
      <w:szCs w:val="24"/>
      <w:lang w:val="hr-HR" w:eastAsia="en-US"/>
    </w:rPr>
  </w:style>
  <w:style w:type="character" w:customStyle="1" w:styleId="Naslov4Char">
    <w:name w:val="Naslov 4 Char"/>
    <w:rsid w:val="00D2043C"/>
    <w:rPr>
      <w:b/>
      <w:bCs/>
      <w:sz w:val="24"/>
      <w:szCs w:val="24"/>
      <w:lang w:val="hr-HR" w:eastAsia="en-US"/>
    </w:rPr>
  </w:style>
  <w:style w:type="character" w:customStyle="1" w:styleId="Naslov5Char">
    <w:name w:val="Naslov 5 Char"/>
    <w:rsid w:val="00D2043C"/>
    <w:rPr>
      <w:b/>
      <w:bCs/>
      <w:sz w:val="24"/>
      <w:szCs w:val="24"/>
      <w:lang w:val="hr-HR" w:eastAsia="en-US"/>
    </w:rPr>
  </w:style>
  <w:style w:type="character" w:customStyle="1" w:styleId="Naslov6Char">
    <w:name w:val="Naslov 6 Char"/>
    <w:rsid w:val="00D2043C"/>
    <w:rPr>
      <w:b/>
      <w:bCs/>
      <w:sz w:val="24"/>
      <w:szCs w:val="24"/>
      <w:lang w:val="hr-HR" w:eastAsia="en-US"/>
    </w:rPr>
  </w:style>
  <w:style w:type="character" w:customStyle="1" w:styleId="Naslov7Char">
    <w:name w:val="Naslov 7 Char"/>
    <w:rsid w:val="00D2043C"/>
    <w:rPr>
      <w:b/>
      <w:bCs/>
      <w:sz w:val="24"/>
      <w:szCs w:val="24"/>
      <w:lang w:val="hr-HR" w:eastAsia="en-US"/>
    </w:rPr>
  </w:style>
  <w:style w:type="paragraph" w:styleId="Naslov">
    <w:name w:val="Title"/>
    <w:basedOn w:val="Normal"/>
    <w:qFormat/>
    <w:rsid w:val="00D2043C"/>
    <w:pPr>
      <w:jc w:val="center"/>
    </w:pPr>
    <w:rPr>
      <w:b/>
      <w:bCs/>
      <w:lang w:val="hr-HR"/>
    </w:rPr>
  </w:style>
  <w:style w:type="paragraph" w:styleId="Podnoje">
    <w:name w:val="footer"/>
    <w:basedOn w:val="Normal"/>
    <w:semiHidden/>
    <w:rsid w:val="00D2043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rsid w:val="00D2043C"/>
    <w:rPr>
      <w:sz w:val="24"/>
      <w:szCs w:val="24"/>
      <w:lang w:val="en-GB" w:eastAsia="en-US"/>
    </w:rPr>
  </w:style>
  <w:style w:type="character" w:styleId="Brojstranice">
    <w:name w:val="page number"/>
    <w:basedOn w:val="Zadanifontodlomka"/>
    <w:semiHidden/>
    <w:rsid w:val="00D2043C"/>
  </w:style>
  <w:style w:type="paragraph" w:styleId="Tijeloteksta">
    <w:name w:val="Body Text"/>
    <w:basedOn w:val="Normal"/>
    <w:semiHidden/>
    <w:rsid w:val="00D2043C"/>
    <w:pPr>
      <w:jc w:val="both"/>
    </w:pPr>
    <w:rPr>
      <w:lang w:val="hr-HR"/>
    </w:rPr>
  </w:style>
  <w:style w:type="character" w:customStyle="1" w:styleId="TijelotekstaChar">
    <w:name w:val="Tijelo teksta Char"/>
    <w:semiHidden/>
    <w:rsid w:val="00D2043C"/>
    <w:rPr>
      <w:sz w:val="24"/>
      <w:szCs w:val="24"/>
      <w:lang w:val="hr-HR" w:eastAsia="en-US"/>
    </w:rPr>
  </w:style>
  <w:style w:type="paragraph" w:styleId="Uvuenotijeloteksta">
    <w:name w:val="Body Text Indent"/>
    <w:basedOn w:val="Normal"/>
    <w:link w:val="UvuenotijelotekstaChar1"/>
    <w:semiHidden/>
    <w:rsid w:val="00D2043C"/>
    <w:pPr>
      <w:spacing w:line="360" w:lineRule="auto"/>
      <w:ind w:firstLine="720"/>
      <w:jc w:val="both"/>
    </w:pPr>
    <w:rPr>
      <w:lang w:val="hr-HR"/>
    </w:rPr>
  </w:style>
  <w:style w:type="character" w:customStyle="1" w:styleId="UvuenotijelotekstaChar">
    <w:name w:val="Uvučeno tijelo teksta Char"/>
    <w:semiHidden/>
    <w:rsid w:val="00D2043C"/>
    <w:rPr>
      <w:sz w:val="24"/>
      <w:szCs w:val="24"/>
      <w:lang w:val="hr-HR" w:eastAsia="en-US"/>
    </w:rPr>
  </w:style>
  <w:style w:type="paragraph" w:styleId="Tijeloteksta2">
    <w:name w:val="Body Text 2"/>
    <w:basedOn w:val="Normal"/>
    <w:semiHidden/>
    <w:rsid w:val="00D2043C"/>
    <w:pPr>
      <w:jc w:val="both"/>
    </w:pPr>
    <w:rPr>
      <w:spacing w:val="-2"/>
      <w:sz w:val="20"/>
      <w:lang w:val="hr-HR"/>
    </w:rPr>
  </w:style>
  <w:style w:type="paragraph" w:styleId="Tijeloteksta-uvlaka2">
    <w:name w:val="Body Text Indent 2"/>
    <w:basedOn w:val="Normal"/>
    <w:semiHidden/>
    <w:rsid w:val="00D2043C"/>
    <w:pPr>
      <w:ind w:firstLine="720"/>
      <w:jc w:val="both"/>
    </w:pPr>
    <w:rPr>
      <w:color w:val="FF0000"/>
      <w:lang w:val="hr-HR"/>
    </w:rPr>
  </w:style>
  <w:style w:type="paragraph" w:styleId="Zaglavlje">
    <w:name w:val="header"/>
    <w:basedOn w:val="Normal"/>
    <w:semiHidden/>
    <w:rsid w:val="00D2043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rsid w:val="00D2043C"/>
    <w:rPr>
      <w:sz w:val="24"/>
      <w:szCs w:val="24"/>
      <w:lang w:val="en-GB" w:eastAsia="en-US"/>
    </w:rPr>
  </w:style>
  <w:style w:type="paragraph" w:styleId="Tekstbalonia">
    <w:name w:val="Balloon Text"/>
    <w:basedOn w:val="Normal"/>
    <w:semiHidden/>
    <w:unhideWhenUsed/>
    <w:rsid w:val="00D2043C"/>
    <w:rPr>
      <w:rFonts w:ascii="Tahoma" w:hAnsi="Tahoma"/>
      <w:sz w:val="16"/>
      <w:szCs w:val="16"/>
    </w:rPr>
  </w:style>
  <w:style w:type="character" w:customStyle="1" w:styleId="BalloonTextChar">
    <w:name w:val="Balloon Text Char"/>
    <w:semiHidden/>
    <w:rsid w:val="00D2043C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D20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D2043C"/>
    <w:pPr>
      <w:widowControl w:val="0"/>
      <w:ind w:left="720"/>
      <w:contextualSpacing/>
    </w:pPr>
    <w:rPr>
      <w:rFonts w:eastAsia="Calibri"/>
      <w:szCs w:val="22"/>
      <w:lang w:val="hr-HR"/>
    </w:rPr>
  </w:style>
  <w:style w:type="character" w:styleId="Hiperveza">
    <w:name w:val="Hyperlink"/>
    <w:semiHidden/>
    <w:rsid w:val="00D2043C"/>
    <w:rPr>
      <w:color w:val="0000FF"/>
      <w:u w:val="single"/>
    </w:rPr>
  </w:style>
  <w:style w:type="table" w:styleId="Reetkatablice">
    <w:name w:val="Table Grid"/>
    <w:basedOn w:val="Obinatablica"/>
    <w:uiPriority w:val="59"/>
    <w:rsid w:val="00963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D2043C"/>
    <w:pPr>
      <w:spacing w:before="100" w:beforeAutospacing="1" w:after="100" w:afterAutospacing="1"/>
    </w:pPr>
    <w:rPr>
      <w:lang w:val="hr-HR" w:eastAsia="hr-HR"/>
    </w:rPr>
  </w:style>
  <w:style w:type="table" w:customStyle="1" w:styleId="Srednjipopis21">
    <w:name w:val="Srednji popis 21"/>
    <w:basedOn w:val="Obinatablica"/>
    <w:uiPriority w:val="66"/>
    <w:rsid w:val="00963F44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Tekstfusnote">
    <w:name w:val="footnote text"/>
    <w:aliases w:val="Footnote Text Blue,Footnote Text1,Char,fn,FOOTNOTES,single space,footnote text,ADB,Footnote Text Char Char Char,Footnote Text Char Char,ft,Tegn1,Tegn1 Char,Char Char Char,Footnote Text Char2 Char Char,Footnote Text Char Char2 Char Char, Ch"/>
    <w:basedOn w:val="Normal"/>
    <w:link w:val="TekstfusnoteChar"/>
    <w:uiPriority w:val="99"/>
    <w:unhideWhenUsed/>
    <w:qFormat/>
    <w:rsid w:val="008770BA"/>
    <w:rPr>
      <w:sz w:val="20"/>
      <w:szCs w:val="20"/>
    </w:rPr>
  </w:style>
  <w:style w:type="character" w:customStyle="1" w:styleId="TekstfusnoteChar">
    <w:name w:val="Tekst fusnote Char"/>
    <w:aliases w:val="Footnote Text Blue Char,Footnote Text1 Char,Char Char,fn Char,FOOTNOTES Char,single space Char,footnote text Char,ADB Char,Footnote Text Char Char Char Char,Footnote Text Char Char Char1,ft Char,Tegn1 Char1,Tegn1 Char Char, Ch Char"/>
    <w:basedOn w:val="Zadanifontodlomka"/>
    <w:link w:val="Tekstfusnote"/>
    <w:uiPriority w:val="99"/>
    <w:rsid w:val="008770BA"/>
    <w:rPr>
      <w:lang w:val="en-GB" w:eastAsia="en-US"/>
    </w:rPr>
  </w:style>
  <w:style w:type="character" w:styleId="Referencafusnote">
    <w:name w:val="footnote reference"/>
    <w:aliases w:val="ftref,Footnote Reference Superscript,Footnote Reference Number,Footnote Reference_LVL6,Footnote Reference_LVL61,Footnote Reference_LVL62,Footnote Reference_LVL63,Footnote Reference_LVL64,16 Point,Superscript 6 Point,Знак сноски-FN,fr"/>
    <w:basedOn w:val="Zadanifontodlomka"/>
    <w:link w:val="BVIfnrZchnCharZchnCharCharCharChar"/>
    <w:uiPriority w:val="99"/>
    <w:unhideWhenUsed/>
    <w:qFormat/>
    <w:rsid w:val="008770BA"/>
    <w:rPr>
      <w:vertAlign w:val="superscript"/>
    </w:rPr>
  </w:style>
  <w:style w:type="paragraph" w:customStyle="1" w:styleId="BVIfnrZchnCharZchnCharCharCharChar">
    <w:name w:val="BVI fnr Zchn Char Zchn Char Char Char Char"/>
    <w:aliases w:val="BVI fnr Car Car Zchn Char Zchn Char Char Char Char,BVI fnr Car Zchn Char Zchn Char Char Char Char"/>
    <w:basedOn w:val="Normal"/>
    <w:link w:val="Referencafusnote"/>
    <w:uiPriority w:val="99"/>
    <w:rsid w:val="005655B8"/>
    <w:pPr>
      <w:spacing w:after="160" w:line="240" w:lineRule="exact"/>
    </w:pPr>
    <w:rPr>
      <w:sz w:val="20"/>
      <w:szCs w:val="20"/>
      <w:vertAlign w:val="superscript"/>
      <w:lang w:val="hr-HR" w:eastAsia="hr-HR"/>
    </w:rPr>
  </w:style>
  <w:style w:type="character" w:customStyle="1" w:styleId="UvuenotijelotekstaChar1">
    <w:name w:val="Uvučeno tijelo teksta Char1"/>
    <w:basedOn w:val="Zadanifontodlomka"/>
    <w:link w:val="Uvuenotijeloteksta"/>
    <w:semiHidden/>
    <w:rsid w:val="0027185F"/>
    <w:rPr>
      <w:sz w:val="24"/>
      <w:szCs w:val="24"/>
      <w:lang w:eastAsia="en-US"/>
    </w:rPr>
  </w:style>
  <w:style w:type="character" w:styleId="Istaknuto">
    <w:name w:val="Emphasis"/>
    <w:basedOn w:val="Zadanifontodlomka"/>
    <w:uiPriority w:val="20"/>
    <w:qFormat/>
    <w:rsid w:val="00307743"/>
    <w:rPr>
      <w:i/>
      <w:iCs/>
    </w:rPr>
  </w:style>
  <w:style w:type="character" w:customStyle="1" w:styleId="ecb-footnote-toggle">
    <w:name w:val="ecb-footnote-toggle"/>
    <w:basedOn w:val="Zadanifontodlomka"/>
    <w:rsid w:val="00307743"/>
  </w:style>
  <w:style w:type="character" w:styleId="Nerijeenospominjanje">
    <w:name w:val="Unresolved Mention"/>
    <w:basedOn w:val="Zadanifontodlomka"/>
    <w:uiPriority w:val="99"/>
    <w:semiHidden/>
    <w:unhideWhenUsed/>
    <w:rsid w:val="008874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8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4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7534722222222393"/>
          <c:y val="8.1632653061224525E-2"/>
          <c:w val="0.74826388888888884"/>
          <c:h val="0.6040816326530730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FFFFFF"/>
            </a:solidFill>
            <a:ln w="12724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Sheet1!$A$2:$A$7</c:f>
              <c:strCache>
                <c:ptCount val="6"/>
                <c:pt idx="0">
                  <c:v>Prihodi od poreza</c:v>
                </c:pt>
                <c:pt idx="1">
                  <c:v>Neporezni prihodi</c:v>
                </c:pt>
                <c:pt idx="2">
                  <c:v>Tekući grantovi</c:v>
                </c:pt>
                <c:pt idx="3">
                  <c:v>Kapitalni grantovi</c:v>
                </c:pt>
                <c:pt idx="4">
                  <c:v>Prihodi po osnovi zaostalih obveza</c:v>
                </c:pt>
                <c:pt idx="5">
                  <c:v>Kapitalni primici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56961162</c:v>
                </c:pt>
                <c:pt idx="1">
                  <c:v>3898134</c:v>
                </c:pt>
                <c:pt idx="2">
                  <c:v>7892901</c:v>
                </c:pt>
                <c:pt idx="3">
                  <c:v>2869073</c:v>
                </c:pt>
                <c:pt idx="4">
                  <c:v>1210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13-4DC6-8036-D2F3F2E6576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2025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12724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Sheet1!$A$2:$A$7</c:f>
              <c:strCache>
                <c:ptCount val="6"/>
                <c:pt idx="0">
                  <c:v>Prihodi od poreza</c:v>
                </c:pt>
                <c:pt idx="1">
                  <c:v>Neporezni prihodi</c:v>
                </c:pt>
                <c:pt idx="2">
                  <c:v>Tekući grantovi</c:v>
                </c:pt>
                <c:pt idx="3">
                  <c:v>Kapitalni grantovi</c:v>
                </c:pt>
                <c:pt idx="4">
                  <c:v>Prihodi po osnovi zaostalih obveza</c:v>
                </c:pt>
                <c:pt idx="5">
                  <c:v>Kapitalni primici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60755330</c:v>
                </c:pt>
                <c:pt idx="1">
                  <c:v>3650750</c:v>
                </c:pt>
                <c:pt idx="2">
                  <c:v>7609320</c:v>
                </c:pt>
                <c:pt idx="3">
                  <c:v>441700</c:v>
                </c:pt>
                <c:pt idx="4">
                  <c:v>1250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F13-4DC6-8036-D2F3F2E657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86109568"/>
        <c:axId val="87457152"/>
        <c:axId val="0"/>
      </c:bar3DChart>
      <c:catAx>
        <c:axId val="86109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74571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7457152"/>
        <c:scaling>
          <c:orientation val="minMax"/>
        </c:scaling>
        <c:delete val="0"/>
        <c:axPos val="l"/>
        <c:majorGridlines>
          <c:spPr>
            <a:ln w="3181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6109568"/>
        <c:crosses val="autoZero"/>
        <c:crossBetween val="between"/>
      </c:valAx>
      <c:spPr>
        <a:noFill/>
        <a:ln w="25449">
          <a:noFill/>
        </a:ln>
      </c:spPr>
    </c:plotArea>
    <c:legend>
      <c:legendPos val="r"/>
      <c:layout>
        <c:manualLayout>
          <c:xMode val="edge"/>
          <c:yMode val="edge"/>
          <c:x val="0.90451388888888851"/>
          <c:y val="0.40816326530612246"/>
          <c:w val="8.6805555555555566E-2"/>
          <c:h val="0.18367346938775511"/>
        </c:manualLayout>
      </c:layout>
      <c:overlay val="0"/>
      <c:spPr>
        <a:solidFill>
          <a:srgbClr val="FFFFFF"/>
        </a:solidFill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987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86449399656947"/>
          <c:y val="7.9545454545454544E-2"/>
          <c:w val="0.85591766723842677"/>
          <c:h val="0.5909090909090909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C0C0C0"/>
            </a:solidFill>
            <a:ln w="12731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Sheet1!$A$2:$A$10</c:f>
              <c:strCache>
                <c:ptCount val="9"/>
                <c:pt idx="0">
                  <c:v>Tekuća pričuva</c:v>
                </c:pt>
                <c:pt idx="1">
                  <c:v>Plaće i naknade</c:v>
                </c:pt>
                <c:pt idx="2">
                  <c:v>Doprinosi poslodavca</c:v>
                </c:pt>
                <c:pt idx="3">
                  <c:v>Materijalni troškovi</c:v>
                </c:pt>
                <c:pt idx="4">
                  <c:v>Tekući grantovi</c:v>
                </c:pt>
                <c:pt idx="5">
                  <c:v>Kapitalni grantovi</c:v>
                </c:pt>
                <c:pt idx="6">
                  <c:v>Izdaci za kamate</c:v>
                </c:pt>
                <c:pt idx="7">
                  <c:v>Izdaci za nabavku stalnih sredstava</c:v>
                </c:pt>
                <c:pt idx="8">
                  <c:v>Izdaci za otplate dugova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660000</c:v>
                </c:pt>
                <c:pt idx="1">
                  <c:v>34642440</c:v>
                </c:pt>
                <c:pt idx="2">
                  <c:v>3444220</c:v>
                </c:pt>
                <c:pt idx="3">
                  <c:v>7026150</c:v>
                </c:pt>
                <c:pt idx="4">
                  <c:v>16693500</c:v>
                </c:pt>
                <c:pt idx="5">
                  <c:v>1750000</c:v>
                </c:pt>
                <c:pt idx="6">
                  <c:v>15510</c:v>
                </c:pt>
                <c:pt idx="7">
                  <c:v>7377960</c:v>
                </c:pt>
                <c:pt idx="8">
                  <c:v>510020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8C-49E9-81FD-D5146ECC1C9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2025</c:v>
                </c:pt>
              </c:strCache>
            </c:strRef>
          </c:tx>
          <c:spPr>
            <a:pattFill prst="dkVert">
              <a:fgClr>
                <a:srgbClr val="000000"/>
              </a:fgClr>
              <a:bgClr>
                <a:srgbClr val="FFFFFF"/>
              </a:bgClr>
            </a:pattFill>
            <a:ln w="12731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Sheet1!$A$2:$A$10</c:f>
              <c:strCache>
                <c:ptCount val="9"/>
                <c:pt idx="0">
                  <c:v>Tekuća pričuva</c:v>
                </c:pt>
                <c:pt idx="1">
                  <c:v>Plaće i naknade</c:v>
                </c:pt>
                <c:pt idx="2">
                  <c:v>Doprinosi poslodavca</c:v>
                </c:pt>
                <c:pt idx="3">
                  <c:v>Materijalni troškovi</c:v>
                </c:pt>
                <c:pt idx="4">
                  <c:v>Tekući grantovi</c:v>
                </c:pt>
                <c:pt idx="5">
                  <c:v>Kapitalni grantovi</c:v>
                </c:pt>
                <c:pt idx="6">
                  <c:v>Izdaci za kamate</c:v>
                </c:pt>
                <c:pt idx="7">
                  <c:v>Izdaci za nabavku stalnih sredstava</c:v>
                </c:pt>
                <c:pt idx="8">
                  <c:v>Izdaci za otplate dugova</c:v>
                </c:pt>
              </c:strCache>
            </c:strRef>
          </c:cat>
          <c:val>
            <c:numRef>
              <c:f>Sheet1!$C$2:$C$10</c:f>
              <c:numCache>
                <c:formatCode>General</c:formatCode>
                <c:ptCount val="9"/>
                <c:pt idx="0">
                  <c:v>580000</c:v>
                </c:pt>
                <c:pt idx="1">
                  <c:v>35883240</c:v>
                </c:pt>
                <c:pt idx="2">
                  <c:v>3558940</c:v>
                </c:pt>
                <c:pt idx="3">
                  <c:v>7264300</c:v>
                </c:pt>
                <c:pt idx="4">
                  <c:v>16662470</c:v>
                </c:pt>
                <c:pt idx="5">
                  <c:v>1710000</c:v>
                </c:pt>
                <c:pt idx="6">
                  <c:v>14330</c:v>
                </c:pt>
                <c:pt idx="7">
                  <c:v>6266200</c:v>
                </c:pt>
                <c:pt idx="8">
                  <c:v>518870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B8C-49E9-81FD-D5146ECC1C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3627008"/>
        <c:axId val="103653376"/>
      </c:barChart>
      <c:catAx>
        <c:axId val="103627008"/>
        <c:scaling>
          <c:orientation val="minMax"/>
        </c:scaling>
        <c:delete val="0"/>
        <c:axPos val="b"/>
        <c:majorGridlines>
          <c:spPr>
            <a:ln w="3183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-5400000" vert="horz"/>
          <a:lstStyle/>
          <a:p>
            <a:pPr>
              <a:defRPr sz="65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365337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3653376"/>
        <c:scaling>
          <c:orientation val="minMax"/>
        </c:scaling>
        <c:delete val="0"/>
        <c:axPos val="l"/>
        <c:majorGridlines>
          <c:spPr>
            <a:ln w="3183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3627008"/>
        <c:crosses val="autoZero"/>
        <c:crossBetween val="between"/>
      </c:valAx>
      <c:spPr>
        <a:solidFill>
          <a:srgbClr val="FFFFFF"/>
        </a:solidFill>
        <a:ln w="12731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8370497427101439"/>
          <c:y val="0.90530303030303061"/>
          <c:w val="0.14236706689537054"/>
          <c:h val="8.3333333333333343E-2"/>
        </c:manualLayout>
      </c:layout>
      <c:overlay val="0"/>
      <c:spPr>
        <a:noFill/>
        <a:ln w="3183">
          <a:solidFill>
            <a:srgbClr val="000000"/>
          </a:solidFill>
          <a:prstDash val="solid"/>
        </a:ln>
      </c:spPr>
      <c:txPr>
        <a:bodyPr/>
        <a:lstStyle/>
        <a:p>
          <a:pPr>
            <a:defRPr sz="737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2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9379844961240553"/>
          <c:y val="9.8130841121496892E-2"/>
          <c:w val="0.78294573643411924"/>
          <c:h val="0.794392523364486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Proračunski prihodi</c:v>
                </c:pt>
              </c:strCache>
            </c:strRef>
          </c:tx>
          <c:spPr>
            <a:solidFill>
              <a:srgbClr val="C0C0C0"/>
            </a:solid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1626855427952342E-2"/>
                  <c:y val="0.21495327102803741"/>
                </c:manualLayout>
              </c:layout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848-49D0-90F3-458745FFE4E8}"/>
                </c:ext>
              </c:extLst>
            </c:dLbl>
            <c:spPr>
              <a:noFill/>
              <a:ln w="25454">
                <a:noFill/>
              </a:ln>
            </c:spPr>
            <c:txPr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#,##0</c:formatCode>
                <c:ptCount val="1"/>
                <c:pt idx="0">
                  <c:v>72458350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848-49D0-90F3-458745FFE4E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Proračunski rashodi</c:v>
                </c:pt>
              </c:strCache>
            </c:strRef>
          </c:tx>
          <c:spPr>
            <a:solidFill>
              <a:srgbClr val="FFFFFF"/>
            </a:solid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9.9041936859267047E-3"/>
                  <c:y val="0.25233644859812771"/>
                </c:manualLayout>
              </c:layout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848-49D0-90F3-458745FFE4E8}"/>
                </c:ext>
              </c:extLst>
            </c:dLbl>
            <c:spPr>
              <a:noFill/>
              <a:ln w="25454">
                <a:noFill/>
              </a:ln>
            </c:spPr>
            <c:txPr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Sheet1!$C$2:$C$2</c:f>
              <c:numCache>
                <c:formatCode>#,##0</c:formatCode>
                <c:ptCount val="1"/>
                <c:pt idx="0">
                  <c:v>65673280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848-49D0-90F3-458745FFE4E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Tekuća bilanca</c:v>
                </c:pt>
              </c:strCache>
            </c:strRef>
          </c:tx>
          <c:spPr>
            <a:pattFill prst="dkDnDiag">
              <a:fgClr>
                <a:srgbClr val="000000"/>
              </a:fgClr>
              <a:bgClr>
                <a:srgbClr val="FFFFFF"/>
              </a:bgClr>
            </a:patt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4009499440395165E-2"/>
                  <c:y val="-3.06747519345944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Tekuća bilanca; 6.785.070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7848-49D0-90F3-458745FFE4E8}"/>
                </c:ext>
              </c:extLst>
            </c:dLbl>
            <c:spPr>
              <a:noFill/>
              <a:ln w="25454">
                <a:noFill/>
              </a:ln>
            </c:spPr>
            <c:txPr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Sheet1!$D$2:$D$2</c:f>
              <c:numCache>
                <c:formatCode>#,##0</c:formatCode>
                <c:ptCount val="1"/>
                <c:pt idx="0">
                  <c:v>6785070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848-49D0-90F3-458745FFE4E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0877312"/>
        <c:axId val="107295104"/>
      </c:barChart>
      <c:catAx>
        <c:axId val="110877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72951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295104"/>
        <c:scaling>
          <c:orientation val="minMax"/>
        </c:scaling>
        <c:delete val="0"/>
        <c:axPos val="l"/>
        <c:majorGridlines>
          <c:spPr>
            <a:ln w="3182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8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10877312"/>
        <c:crosses val="autoZero"/>
        <c:crossBetween val="between"/>
      </c:valAx>
      <c:spPr>
        <a:noFill/>
        <a:ln w="2545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5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604651162790825"/>
          <c:y val="9.8130841121496892E-2"/>
          <c:w val="0.79069767441861094"/>
          <c:h val="0.813084112149538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Primici od nefin.imovine</c:v>
                </c:pt>
              </c:strCache>
            </c:strRef>
          </c:tx>
          <c:spPr>
            <a:solidFill>
              <a:srgbClr val="9999FF"/>
            </a:solid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4.3529214799933061E-2"/>
                  <c:y val="0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20A-46C2-9FF8-91AB25F1CEB3}"/>
                </c:ext>
              </c:extLst>
            </c:dLbl>
            <c:spPr>
              <a:noFill/>
              <a:ln w="25454">
                <a:noFill/>
              </a:ln>
            </c:spPr>
            <c:txPr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#,##0</c:formatCode>
                <c:ptCount val="1"/>
                <c:pt idx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20A-46C2-9FF8-91AB25F1CEB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Izdaci za nefin.imovinu</c:v>
                </c:pt>
              </c:strCache>
            </c:strRef>
          </c:tx>
          <c:spPr>
            <a:solidFill>
              <a:srgbClr val="808080"/>
            </a:solid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9.9687438618138572E-4"/>
                  <c:y val="0.19602019602019619"/>
                </c:manualLayout>
              </c:layout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20A-46C2-9FF8-91AB25F1CEB3}"/>
                </c:ext>
              </c:extLst>
            </c:dLbl>
            <c:spPr>
              <a:noFill/>
              <a:ln w="25454">
                <a:noFill/>
              </a:ln>
            </c:spPr>
            <c:txPr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Sheet1!$C$2:$C$2</c:f>
              <c:numCache>
                <c:formatCode>#,##0</c:formatCode>
                <c:ptCount val="1"/>
                <c:pt idx="0">
                  <c:v>6266200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20A-46C2-9FF8-91AB25F1CEB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Neto nabavka nefin.imovine</c:v>
                </c:pt>
              </c:strCache>
            </c:strRef>
          </c:tx>
          <c:spPr>
            <a:pattFill prst="pct5">
              <a:fgClr>
                <a:srgbClr val="000000"/>
              </a:fgClr>
              <a:bgClr>
                <a:srgbClr val="FFFFFF"/>
              </a:bgClr>
            </a:pattFill>
            <a:ln w="1272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2867578869402412E-3"/>
                  <c:y val="0.1748029944291629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Neto nabavka nefinancijske imovine;               -6.266.200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D20A-46C2-9FF8-91AB25F1CEB3}"/>
                </c:ext>
              </c:extLst>
            </c:dLbl>
            <c:spPr>
              <a:noFill/>
              <a:ln w="25454">
                <a:noFill/>
              </a:ln>
            </c:spPr>
            <c:txPr>
              <a:bodyPr/>
              <a:lstStyle/>
              <a:p>
                <a:pPr>
                  <a:defRPr sz="8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Sheet1!$D$2:$D$2</c:f>
              <c:numCache>
                <c:formatCode>#,##0</c:formatCode>
                <c:ptCount val="1"/>
                <c:pt idx="0">
                  <c:v>-6266200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20A-46C2-9FF8-91AB25F1CE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8689280"/>
        <c:axId val="108690816"/>
      </c:barChart>
      <c:catAx>
        <c:axId val="108689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86908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690816"/>
        <c:scaling>
          <c:orientation val="minMax"/>
        </c:scaling>
        <c:delete val="0"/>
        <c:axPos val="l"/>
        <c:majorGridlines>
          <c:spPr>
            <a:ln w="3182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8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2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8689280"/>
        <c:crosses val="autoZero"/>
        <c:crossBetween val="between"/>
      </c:valAx>
      <c:spPr>
        <a:noFill/>
        <a:ln w="2545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5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604651162790825"/>
          <c:y val="9.8130841121496892E-2"/>
          <c:w val="0.79069767441861094"/>
          <c:h val="0.813084112149538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Tekući suficit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"/>
                  <c:y val="0.23214285714285721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D77-43EC-A1C2-1ACE23DDF921}"/>
                </c:ext>
              </c:extLst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#,##0</c:formatCode>
                <c:ptCount val="1"/>
                <c:pt idx="0">
                  <c:v>6785070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D77-43EC-A1C2-1ACE23DDF92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Neto nabavka nef.imovine</c:v>
                </c:pt>
              </c:strCache>
            </c:strRef>
          </c:tx>
          <c:spPr>
            <a:solidFill>
              <a:srgbClr val="333333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3940817241621076E-3"/>
                  <c:y val="0.2544192913385828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baseline="0">
                        <a:solidFill>
                          <a:schemeClr val="bg1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>
                        <a:solidFill>
                          <a:schemeClr val="bg1"/>
                        </a:solidFill>
                      </a:rPr>
                      <a:t>Neto nabavka nef.imovine;      -6.266.200</a:t>
                    </a:r>
                  </a:p>
                </c:rich>
              </c:tx>
              <c:spPr>
                <a:noFill/>
                <a:ln w="25392">
                  <a:noFill/>
                </a:ln>
              </c:spPr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9D77-43EC-A1C2-1ACE23DDF921}"/>
                </c:ext>
              </c:extLst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Sheet1!$C$2:$C$2</c:f>
              <c:numCache>
                <c:formatCode>#,##0</c:formatCode>
                <c:ptCount val="1"/>
                <c:pt idx="0">
                  <c:v>-6266200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D77-43EC-A1C2-1ACE23DDF92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Ukupan suficit</c:v>
                </c:pt>
              </c:strCache>
            </c:strRef>
          </c:tx>
          <c:spPr>
            <a:pattFill prst="dkDnDiag">
              <a:fgClr>
                <a:srgbClr val="000000"/>
              </a:fgClr>
              <a:bgClr>
                <a:srgbClr val="FFFFFF"/>
              </a:bgClr>
            </a:patt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Sheet1!$D$2:$D$2</c:f>
              <c:numCache>
                <c:formatCode>#,##0</c:formatCode>
                <c:ptCount val="1"/>
                <c:pt idx="0">
                  <c:v>518870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D77-43EC-A1C2-1ACE23DDF9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3953920"/>
        <c:axId val="103955456"/>
      </c:barChart>
      <c:catAx>
        <c:axId val="103953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39554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3955456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3953920"/>
        <c:crosses val="autoZero"/>
        <c:crossBetween val="between"/>
      </c:valAx>
      <c:spPr>
        <a:noFill/>
        <a:ln w="2539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279069767441864"/>
          <c:y val="9.8130841121496892E-2"/>
          <c:w val="0.81395348837209303"/>
          <c:h val="0.813084112149538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Primici od fin.imovine</c:v>
                </c:pt>
              </c:strCache>
            </c:strRef>
          </c:tx>
          <c:spPr>
            <a:solidFill>
              <a:srgbClr val="9999FF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4.0315807156055802E-2"/>
                  <c:y val="0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E67-4CCA-91C5-049EA01EDC57}"/>
                </c:ext>
              </c:extLst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#,##0</c:formatCode>
                <c:ptCount val="1"/>
                <c:pt idx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E67-4CCA-91C5-049EA01EDC5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Otplate dugova</c:v>
                </c:pt>
              </c:strCache>
            </c:strRef>
          </c:tx>
          <c:spPr>
            <a:solidFill>
              <a:srgbClr val="C0C0C0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4602165784207305E-4"/>
                  <c:y val="0.20612392200974858"/>
                </c:manualLayout>
              </c:layout>
              <c:dLblPos val="outEnd"/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E67-4CCA-91C5-049EA01EDC57}"/>
                </c:ext>
              </c:extLst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Sheet1!$C$2:$C$2</c:f>
              <c:numCache>
                <c:formatCode>#,##0</c:formatCode>
                <c:ptCount val="1"/>
                <c:pt idx="0">
                  <c:v>518870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E67-4CCA-91C5-049EA01EDC57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Neto financiranje</c:v>
                </c:pt>
              </c:strCache>
            </c:strRef>
          </c:tx>
          <c:spPr>
            <a:pattFill prst="dkVert">
              <a:fgClr>
                <a:srgbClr val="000000"/>
              </a:fgClr>
              <a:bgClr>
                <a:srgbClr val="FFFFFF"/>
              </a:bgClr>
            </a:pattFill>
            <a:ln w="12696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>
                  <a:lumMod val="50000"/>
                  <a:lumOff val="50000"/>
                </a:schemeClr>
              </a:solidFill>
              <a:ln w="12696">
                <a:solidFill>
                  <a:srgbClr val="000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4-FE67-4CCA-91C5-049EA01EDC57}"/>
              </c:ext>
            </c:extLst>
          </c:dPt>
          <c:dLbls>
            <c:dLbl>
              <c:idx val="0"/>
              <c:layout>
                <c:manualLayout>
                  <c:x val="-6.7193011926759746E-3"/>
                  <c:y val="0.22619094488188976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bg1"/>
                        </a:solidFill>
                      </a:rPr>
                      <a:t>N</a:t>
                    </a:r>
                    <a:r>
                      <a:rPr lang="en-US"/>
                      <a:t>eto financiranje;      -518.870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FE67-4CCA-91C5-049EA01EDC57}"/>
                </c:ext>
              </c:extLst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chemeClr val="bg1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Sheet1!$D$2:$D$2</c:f>
              <c:numCache>
                <c:formatCode>#,##0</c:formatCode>
                <c:ptCount val="1"/>
                <c:pt idx="0">
                  <c:v>-518870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E67-4CCA-91C5-049EA01EDC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7320448"/>
        <c:axId val="107321984"/>
      </c:barChart>
      <c:catAx>
        <c:axId val="10732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73219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7321984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7320448"/>
        <c:crosses val="autoZero"/>
        <c:crossBetween val="between"/>
      </c:valAx>
      <c:spPr>
        <a:noFill/>
        <a:ln w="2539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279069767441864"/>
          <c:y val="9.8130841121496892E-2"/>
          <c:w val="0.81395348837209303"/>
          <c:h val="0.8130841121495381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Ukupan suficit</c:v>
                </c:pt>
              </c:strCache>
            </c:strRef>
          </c:tx>
          <c:spPr>
            <a:solidFill>
              <a:srgbClr val="808080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6.7193011926759746E-3"/>
                  <c:y val="0.23214285714285721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E0A-4F10-B3E5-A54BEFBEAE5F}"/>
                </c:ext>
              </c:extLst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#,##0</c:formatCode>
                <c:ptCount val="1"/>
                <c:pt idx="0">
                  <c:v>518870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E0A-4F10-B3E5-A54BEFBEAE5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Neto financiranje</c:v>
                </c:pt>
              </c:strCache>
            </c:strRef>
          </c:tx>
          <c:spPr>
            <a:pattFill prst="dotDmnd">
              <a:fgClr>
                <a:srgbClr val="000000"/>
              </a:fgClr>
              <a:bgClr>
                <a:srgbClr val="FFFFFF"/>
              </a:bgClr>
            </a:patt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3596505963379812E-3"/>
                  <c:y val="0.2142880577427823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Neto financiranje;      -518.870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7E0A-4F10-B3E5-A54BEFBEAE5F}"/>
                </c:ext>
              </c:extLst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Sheet1!$C$2:$C$2</c:f>
              <c:numCache>
                <c:formatCode>#,##0</c:formatCode>
                <c:ptCount val="1"/>
                <c:pt idx="0">
                  <c:v>-518870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E0A-4F10-B3E5-A54BEFBEAE5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Fin.rezultat/pokriće deficita</c:v>
                </c:pt>
              </c:strCache>
            </c:strRef>
          </c:tx>
          <c:spPr>
            <a:solidFill>
              <a:srgbClr val="FFFFCC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6.3833361330421765E-2"/>
                  <c:y val="0"/>
                </c:manualLayout>
              </c:layout>
              <c:showLegendKey val="0"/>
              <c:showVal val="1"/>
              <c:showCatName val="0"/>
              <c:showSerName val="1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E0A-4F10-B3E5-A54BEFBEAE5F}"/>
                </c:ext>
              </c:extLst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Sheet1!$A$2:$A$2</c:f>
              <c:numCache>
                <c:formatCode>General</c:formatCode>
                <c:ptCount val="1"/>
              </c:numCache>
            </c:numRef>
          </c:cat>
          <c:val>
            <c:numRef>
              <c:f>Sheet1!$D$2:$D$2</c:f>
              <c:numCache>
                <c:formatCode>#,##0</c:formatCode>
                <c:ptCount val="1"/>
                <c:pt idx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7E0A-4F10-B3E5-A54BEFBEAE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941504"/>
        <c:axId val="87943040"/>
      </c:barChart>
      <c:catAx>
        <c:axId val="87941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79430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7943040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#,##0" sourceLinked="0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87941504"/>
        <c:crosses val="autoZero"/>
        <c:crossBetween val="between"/>
      </c:valAx>
      <c:spPr>
        <a:noFill/>
        <a:ln w="2539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111FD-3767-42CD-BFBA-B37904165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6878</Words>
  <Characters>39205</Characters>
  <Application>Microsoft Office Word</Application>
  <DocSecurity>0</DocSecurity>
  <Lines>326</Lines>
  <Paragraphs>91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OBRAZLOŽENJE NACRTA PRORAČUNA</vt:lpstr>
      <vt:lpstr>OBRAZLOŽENJE NACRTA PRORAČUNA</vt:lpstr>
    </vt:vector>
  </TitlesOfParts>
  <Company>Deftones</Company>
  <LinksUpToDate>false</LinksUpToDate>
  <CharactersWithSpaces>45992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OBRAZLOŽENJE NACRTA PRORAČUNA</dc:title>
  <dc:creator>operater</dc:creator>
  <cp:lastModifiedBy>Vlada Županije Posavske</cp:lastModifiedBy>
  <cp:revision>2</cp:revision>
  <cp:lastPrinted>2024-12-16T10:02:00Z</cp:lastPrinted>
  <dcterms:created xsi:type="dcterms:W3CDTF">2024-12-19T08:42:00Z</dcterms:created>
  <dcterms:modified xsi:type="dcterms:W3CDTF">2024-12-19T08:42:00Z</dcterms:modified>
</cp:coreProperties>
</file>